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rFonts w:hint="eastAsia" w:ascii="楷体" w:hAnsi="楷体" w:eastAsia="楷体"/>
          <w:color w:val="000000"/>
          <w:sz w:val="28"/>
          <w:szCs w:val="28"/>
        </w:rPr>
        <w:t>0</w:t>
      </w:r>
      <w:r>
        <w:rPr>
          <w:rFonts w:hint="eastAsia" w:ascii="楷体" w:hAnsi="楷体" w:eastAsia="楷体"/>
          <w:color w:val="000000"/>
          <w:sz w:val="28"/>
          <w:szCs w:val="28"/>
          <w:lang w:val="en-US" w:eastAsia="zh-CN"/>
        </w:rPr>
        <w:t>00</w:t>
      </w:r>
      <w:r>
        <w:rPr>
          <w:rFonts w:hint="eastAsia" w:ascii="楷体" w:hAnsi="楷体" w:eastAsia="楷体"/>
          <w:color w:val="000000"/>
          <w:sz w:val="28"/>
          <w:szCs w:val="28"/>
        </w:rPr>
        <w:t>8-20</w:t>
      </w:r>
      <w:r>
        <w:rPr>
          <w:rFonts w:hint="eastAsia" w:ascii="楷体" w:hAnsi="楷体" w:eastAsia="楷体"/>
          <w:color w:val="000000"/>
          <w:sz w:val="28"/>
          <w:szCs w:val="28"/>
          <w:lang w:val="en-US" w:eastAsia="zh-CN"/>
        </w:rPr>
        <w:t>20</w:t>
      </w:r>
      <w:r>
        <w:rPr>
          <w:rFonts w:hint="eastAsia" w:ascii="楷体" w:hAnsi="楷体" w:eastAsia="楷体"/>
          <w:color w:val="000000"/>
          <w:sz w:val="28"/>
          <w:szCs w:val="28"/>
        </w:rPr>
        <w:t>-E</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河北恒拓通信设备有限公司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723"/>
        <w:gridCol w:w="271"/>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231"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980"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723" w:type="dxa"/>
            <w:vAlign w:val="center"/>
          </w:tcPr>
          <w:p>
            <w:pPr>
              <w:rPr>
                <w:b/>
                <w:color w:val="000000"/>
                <w:sz w:val="20"/>
                <w:szCs w:val="20"/>
              </w:rPr>
            </w:pPr>
            <w:r>
              <w:rPr>
                <w:rFonts w:hint="eastAsia"/>
                <w:b/>
                <w:color w:val="000000"/>
                <w:sz w:val="20"/>
                <w:szCs w:val="20"/>
              </w:rPr>
              <w:t>邮箱</w:t>
            </w:r>
          </w:p>
        </w:tc>
        <w:tc>
          <w:tcPr>
            <w:tcW w:w="2450"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4"/>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rFonts w:hint="eastAsia" w:eastAsia="宋体"/>
                <w:b/>
                <w:color w:val="000000"/>
                <w:sz w:val="20"/>
                <w:szCs w:val="20"/>
                <w:lang w:eastAsia="zh-CN"/>
              </w:rPr>
            </w:pPr>
            <w:r>
              <w:rPr>
                <w:rFonts w:hint="eastAsia"/>
                <w:b/>
                <w:color w:val="000000"/>
                <w:sz w:val="20"/>
                <w:szCs w:val="20"/>
                <w:lang w:eastAsia="zh-CN"/>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rFonts w:hint="eastAsia" w:eastAsia="宋体"/>
                <w:b/>
                <w:color w:val="000000"/>
                <w:lang w:val="en-US" w:eastAsia="zh-CN"/>
              </w:rPr>
            </w:pPr>
          </w:p>
        </w:tc>
        <w:tc>
          <w:tcPr>
            <w:tcW w:w="1417" w:type="dxa"/>
            <w:gridSpan w:val="2"/>
            <w:vAlign w:val="center"/>
          </w:tcPr>
          <w:p>
            <w:pPr>
              <w:rPr>
                <w:rFonts w:hint="eastAsia" w:eastAsia="宋体"/>
                <w:b/>
                <w:color w:val="000000"/>
                <w:lang w:val="en-US" w:eastAsia="zh-CN"/>
              </w:rPr>
            </w:pPr>
          </w:p>
        </w:tc>
        <w:tc>
          <w:tcPr>
            <w:tcW w:w="3402" w:type="dxa"/>
            <w:gridSpan w:val="4"/>
            <w:vAlign w:val="center"/>
          </w:tcPr>
          <w:p>
            <w:pPr>
              <w:rPr>
                <w:rFonts w:hint="eastAsia" w:eastAsia="宋体"/>
                <w:b/>
                <w:color w:val="000000"/>
                <w:lang w:eastAsia="zh-CN"/>
              </w:rPr>
            </w:pPr>
          </w:p>
        </w:tc>
        <w:tc>
          <w:tcPr>
            <w:tcW w:w="2179" w:type="dxa"/>
            <w:gridSpan w:val="2"/>
            <w:vAlign w:val="center"/>
          </w:tcPr>
          <w:p>
            <w:pPr>
              <w:rPr>
                <w:b/>
                <w:color w:val="000000"/>
              </w:rPr>
            </w:pPr>
          </w:p>
        </w:tc>
      </w:tr>
    </w:tbl>
    <w:p>
      <w:pPr>
        <w:spacing w:line="300" w:lineRule="auto"/>
        <w:ind w:firstLine="245" w:firstLineChars="100"/>
        <w:rPr>
          <w:rFonts w:hint="eastAsia" w:ascii="宋体" w:hAnsi="宋体"/>
          <w:b/>
          <w:color w:val="000000"/>
          <w:spacing w:val="-8"/>
          <w:sz w:val="26"/>
          <w:szCs w:val="26"/>
        </w:rPr>
      </w:pPr>
      <w:r>
        <w:rPr>
          <w:rFonts w:hint="eastAsia" w:ascii="宋体" w:hAnsi="宋体"/>
          <w:b/>
          <w:color w:val="000000"/>
          <w:spacing w:val="-8"/>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环境管理体系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45" w:firstLineChars="100"/>
        <w:rPr>
          <w:rFonts w:ascii="宋体"/>
          <w:b/>
          <w:color w:val="000000"/>
          <w:sz w:val="20"/>
          <w:szCs w:val="20"/>
        </w:rPr>
      </w:pPr>
      <w:r>
        <w:rPr>
          <w:rFonts w:hint="eastAsia" w:ascii="宋体" w:hAnsi="宋体"/>
          <w:b/>
          <w:color w:val="000000"/>
          <w:spacing w:val="-8"/>
          <w:sz w:val="26"/>
          <w:szCs w:val="26"/>
        </w:rPr>
        <w:t>三、审核准则</w:t>
      </w:r>
    </w:p>
    <w:p>
      <w:pPr>
        <w:spacing w:line="300" w:lineRule="auto"/>
        <w:ind w:left="420" w:leftChars="200"/>
        <w:rPr>
          <w:rFonts w:ascii="宋体"/>
          <w:b/>
          <w:color w:val="000000"/>
          <w:sz w:val="20"/>
          <w:szCs w:val="20"/>
          <w:lang w:val="de-DE"/>
        </w:rPr>
      </w:pPr>
      <w:bookmarkStart w:id="5" w:name="E勾选Add1"/>
      <w:r>
        <w:rPr>
          <w:rFonts w:hint="eastAsia" w:ascii="宋体" w:hAnsi="宋体"/>
          <w:b/>
          <w:color w:val="000000"/>
          <w:sz w:val="20"/>
          <w:szCs w:val="20"/>
          <w:lang w:val="de-DE"/>
        </w:rPr>
        <w:t>■</w:t>
      </w:r>
      <w:bookmarkEnd w:id="5"/>
      <w:r>
        <w:rPr>
          <w:rFonts w:ascii="宋体" w:hAnsi="宋体"/>
          <w:b/>
          <w:color w:val="000000"/>
          <w:sz w:val="20"/>
          <w:szCs w:val="20"/>
          <w:lang w:val="de-DE"/>
        </w:rPr>
        <w:t>GB/T24001-2016</w:t>
      </w:r>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idt ISO 14001:2015标准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814"/>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left"/>
              <w:rPr>
                <w:rFonts w:hint="eastAsia" w:ascii="宋体" w:eastAsia="宋体"/>
                <w:b/>
                <w:color w:val="000000"/>
                <w:sz w:val="20"/>
                <w:szCs w:val="20"/>
                <w:lang w:eastAsia="zh-CN"/>
              </w:rPr>
            </w:pPr>
            <w:r>
              <w:rPr>
                <w:rFonts w:hint="eastAsia" w:ascii="宋体"/>
                <w:b/>
                <w:color w:val="000000"/>
                <w:sz w:val="20"/>
                <w:szCs w:val="20"/>
                <w:lang w:eastAsia="zh-CN"/>
              </w:rPr>
              <w:t>河北恒拓通信设备有限公司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vAlign w:val="center"/>
          </w:tcPr>
          <w:p>
            <w:pPr>
              <w:spacing w:line="280" w:lineRule="exact"/>
              <w:jc w:val="both"/>
              <w:rPr>
                <w:rFonts w:ascii="宋体" w:hAnsi="Times New Roman" w:eastAsia="宋体" w:cs="Times New Roman"/>
                <w:b/>
                <w:color w:val="000000"/>
                <w:kern w:val="2"/>
                <w:sz w:val="20"/>
                <w:szCs w:val="20"/>
                <w:lang w:val="en-US" w:eastAsia="zh-CN" w:bidi="ar-SA"/>
              </w:rPr>
            </w:pPr>
            <w:r>
              <w:rPr>
                <w:sz w:val="21"/>
                <w:szCs w:val="21"/>
              </w:rPr>
              <w:t>任丘市经济技术开发区</w:t>
            </w:r>
          </w:p>
        </w:tc>
        <w:tc>
          <w:tcPr>
            <w:tcW w:w="814" w:type="dxa"/>
            <w:vMerge w:val="restart"/>
            <w:vAlign w:val="center"/>
          </w:tcPr>
          <w:p>
            <w:pPr>
              <w:spacing w:line="280" w:lineRule="exact"/>
              <w:jc w:val="both"/>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邮编</w:t>
            </w:r>
          </w:p>
          <w:p>
            <w:pPr>
              <w:spacing w:line="280" w:lineRule="exact"/>
              <w:jc w:val="center"/>
              <w:rPr>
                <w:rFonts w:ascii="宋体"/>
                <w:b/>
                <w:color w:val="000000"/>
                <w:sz w:val="20"/>
                <w:szCs w:val="20"/>
              </w:rPr>
            </w:pPr>
          </w:p>
        </w:tc>
        <w:tc>
          <w:tcPr>
            <w:tcW w:w="1986" w:type="dxa"/>
            <w:vAlign w:val="center"/>
          </w:tcPr>
          <w:p>
            <w:pPr>
              <w:spacing w:line="280" w:lineRule="exact"/>
              <w:jc w:val="both"/>
              <w:rPr>
                <w:rFonts w:hint="eastAsia" w:ascii="宋体" w:hAnsi="Times New Roman" w:eastAsia="宋体" w:cs="Times New Roman"/>
                <w:b/>
                <w:color w:val="000000"/>
                <w:kern w:val="2"/>
                <w:sz w:val="20"/>
                <w:szCs w:val="20"/>
                <w:lang w:val="en-US" w:eastAsia="zh-CN" w:bidi="ar-SA"/>
              </w:rPr>
            </w:pPr>
            <w:r>
              <w:rPr>
                <w:sz w:val="21"/>
                <w:szCs w:val="21"/>
              </w:rP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vAlign w:val="center"/>
          </w:tcPr>
          <w:p>
            <w:pPr>
              <w:spacing w:line="280" w:lineRule="exact"/>
              <w:jc w:val="both"/>
              <w:rPr>
                <w:rFonts w:hint="eastAsia" w:ascii="宋体" w:hAnsi="Times New Roman" w:eastAsia="宋体" w:cs="Times New Roman"/>
                <w:b/>
                <w:color w:val="000000"/>
                <w:kern w:val="2"/>
                <w:sz w:val="20"/>
                <w:szCs w:val="20"/>
                <w:lang w:val="en-US" w:eastAsia="zh-CN" w:bidi="ar-SA"/>
              </w:rPr>
            </w:pPr>
            <w:bookmarkStart w:id="6" w:name="经营地址"/>
            <w:bookmarkEnd w:id="6"/>
            <w:r>
              <w:rPr>
                <w:rFonts w:asciiTheme="minorEastAsia" w:hAnsiTheme="minorEastAsia" w:eastAsiaTheme="minorEastAsia"/>
                <w:sz w:val="20"/>
              </w:rPr>
              <w:t>任丘市麻家坞镇南马庄</w:t>
            </w:r>
          </w:p>
        </w:tc>
        <w:tc>
          <w:tcPr>
            <w:tcW w:w="814" w:type="dxa"/>
            <w:vMerge w:val="continue"/>
            <w:vAlign w:val="center"/>
          </w:tcPr>
          <w:p>
            <w:pPr>
              <w:spacing w:line="280" w:lineRule="exact"/>
              <w:jc w:val="center"/>
              <w:rPr>
                <w:rFonts w:ascii="宋体"/>
                <w:b/>
                <w:color w:val="000000"/>
                <w:sz w:val="20"/>
                <w:szCs w:val="20"/>
              </w:rPr>
            </w:pPr>
          </w:p>
        </w:tc>
        <w:tc>
          <w:tcPr>
            <w:tcW w:w="1986" w:type="dxa"/>
            <w:vAlign w:val="center"/>
          </w:tcPr>
          <w:p>
            <w:pPr>
              <w:spacing w:line="280" w:lineRule="exact"/>
              <w:jc w:val="both"/>
              <w:rPr>
                <w:rFonts w:hint="default" w:ascii="宋体" w:hAnsi="Times New Roman" w:eastAsia="宋体" w:cs="Times New Roman"/>
                <w:b/>
                <w:color w:val="000000"/>
                <w:kern w:val="2"/>
                <w:sz w:val="20"/>
                <w:szCs w:val="20"/>
                <w:lang w:val="en-US" w:eastAsia="zh-CN" w:bidi="ar-SA"/>
              </w:rPr>
            </w:pPr>
            <w:bookmarkStart w:id="7" w:name="经营邮编"/>
            <w:bookmarkEnd w:id="7"/>
            <w:r>
              <w:rPr>
                <w:sz w:val="21"/>
                <w:szCs w:val="21"/>
              </w:rP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both"/>
              <w:rPr>
                <w:rFonts w:hint="eastAsia" w:ascii="宋体" w:hAnsi="Times New Roman" w:eastAsia="宋体" w:cs="Times New Roman"/>
                <w:b/>
                <w:color w:val="000000"/>
                <w:kern w:val="2"/>
                <w:sz w:val="20"/>
                <w:szCs w:val="20"/>
                <w:lang w:val="en-US" w:eastAsia="zh-CN" w:bidi="ar-SA"/>
              </w:rPr>
            </w:pPr>
            <w:r>
              <w:rPr>
                <w:rFonts w:hint="eastAsia"/>
                <w:sz w:val="21"/>
                <w:szCs w:val="21"/>
                <w:lang w:val="en-US" w:eastAsia="zh-CN"/>
              </w:rPr>
              <w:t>解晶</w:t>
            </w:r>
          </w:p>
        </w:tc>
        <w:tc>
          <w:tcPr>
            <w:tcW w:w="1463" w:type="dxa"/>
            <w:vAlign w:val="center"/>
          </w:tcPr>
          <w:p>
            <w:pPr>
              <w:spacing w:line="280" w:lineRule="exact"/>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电话</w:t>
            </w:r>
          </w:p>
        </w:tc>
        <w:tc>
          <w:tcPr>
            <w:tcW w:w="2180" w:type="dxa"/>
            <w:vAlign w:val="center"/>
          </w:tcPr>
          <w:p>
            <w:pPr>
              <w:spacing w:line="280" w:lineRule="exact"/>
              <w:jc w:val="both"/>
              <w:rPr>
                <w:rFonts w:ascii="宋体" w:hAnsi="Times New Roman" w:eastAsia="宋体" w:cs="Times New Roman"/>
                <w:b/>
                <w:color w:val="000000"/>
                <w:kern w:val="2"/>
                <w:sz w:val="20"/>
                <w:szCs w:val="20"/>
                <w:lang w:val="en-US" w:eastAsia="zh-CN" w:bidi="ar-SA"/>
              </w:rPr>
            </w:pPr>
            <w:r>
              <w:rPr>
                <w:sz w:val="21"/>
                <w:szCs w:val="21"/>
              </w:rPr>
              <w:t>18689004444</w:t>
            </w:r>
          </w:p>
        </w:tc>
        <w:tc>
          <w:tcPr>
            <w:tcW w:w="814" w:type="dxa"/>
            <w:vAlign w:val="center"/>
          </w:tcPr>
          <w:p>
            <w:pPr>
              <w:spacing w:line="280" w:lineRule="exact"/>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传真</w:t>
            </w:r>
          </w:p>
        </w:tc>
        <w:tc>
          <w:tcPr>
            <w:tcW w:w="1986" w:type="dxa"/>
            <w:vAlign w:val="center"/>
          </w:tcPr>
          <w:p>
            <w:pPr>
              <w:spacing w:line="280" w:lineRule="exact"/>
              <w:jc w:val="both"/>
              <w:rPr>
                <w:rFonts w:hint="eastAsia" w:ascii="宋体" w:hAnsi="Times New Roman" w:eastAsia="宋体" w:cs="Times New Roman"/>
                <w:b/>
                <w:color w:val="000000"/>
                <w:kern w:val="2"/>
                <w:sz w:val="20"/>
                <w:szCs w:val="20"/>
                <w:lang w:val="en-US" w:eastAsia="zh-CN" w:bidi="ar-SA"/>
              </w:rPr>
            </w:pPr>
            <w:bookmarkStart w:id="8" w:name="联系人传真Add1"/>
            <w:bookmarkEnd w:id="8"/>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both"/>
              <w:rPr>
                <w:rFonts w:hint="eastAsia" w:ascii="宋体" w:hAnsi="Times New Roman" w:eastAsia="宋体" w:cs="Times New Roman"/>
                <w:b/>
                <w:color w:val="000000"/>
                <w:kern w:val="2"/>
                <w:sz w:val="20"/>
                <w:szCs w:val="20"/>
                <w:lang w:val="en-US" w:eastAsia="zh-CN" w:bidi="ar-SA"/>
              </w:rPr>
            </w:pPr>
            <w:r>
              <w:rPr>
                <w:rFonts w:hint="eastAsia"/>
                <w:sz w:val="21"/>
                <w:szCs w:val="21"/>
                <w:lang w:val="en-US" w:eastAsia="zh-CN"/>
              </w:rPr>
              <w:t>解峰</w:t>
            </w:r>
          </w:p>
        </w:tc>
        <w:tc>
          <w:tcPr>
            <w:tcW w:w="1463" w:type="dxa"/>
            <w:vAlign w:val="center"/>
          </w:tcPr>
          <w:p>
            <w:pPr>
              <w:jc w:val="center"/>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管理者代表</w:t>
            </w:r>
          </w:p>
        </w:tc>
        <w:tc>
          <w:tcPr>
            <w:tcW w:w="2180" w:type="dxa"/>
            <w:vAlign w:val="center"/>
          </w:tcPr>
          <w:p>
            <w:pPr>
              <w:jc w:val="both"/>
              <w:rPr>
                <w:rFonts w:hint="eastAsia" w:ascii="宋体" w:hAnsi="Times New Roman" w:eastAsia="宋体" w:cs="Times New Roman"/>
                <w:b/>
                <w:color w:val="000000"/>
                <w:kern w:val="2"/>
                <w:sz w:val="20"/>
                <w:szCs w:val="20"/>
                <w:lang w:val="en-US" w:eastAsia="zh-CN" w:bidi="ar-SA"/>
              </w:rPr>
            </w:pPr>
            <w:r>
              <w:rPr>
                <w:rFonts w:hint="eastAsia"/>
                <w:sz w:val="21"/>
                <w:szCs w:val="21"/>
                <w:lang w:val="en-US" w:eastAsia="zh-CN"/>
              </w:rPr>
              <w:t>解峰</w:t>
            </w:r>
          </w:p>
        </w:tc>
        <w:tc>
          <w:tcPr>
            <w:tcW w:w="814" w:type="dxa"/>
            <w:vAlign w:val="top"/>
          </w:tcPr>
          <w:p>
            <w:pPr>
              <w:jc w:val="center"/>
              <w:rPr>
                <w:rFonts w:ascii="宋体" w:hAnsi="Times New Roman" w:eastAsia="宋体" w:cs="Times New Roman"/>
                <w:b/>
                <w:color w:val="000000"/>
                <w:kern w:val="2"/>
                <w:sz w:val="20"/>
                <w:szCs w:val="20"/>
                <w:lang w:val="en-US" w:eastAsia="zh-CN" w:bidi="ar-SA"/>
              </w:rPr>
            </w:pPr>
            <w:r>
              <w:rPr>
                <w:rFonts w:hint="eastAsia" w:ascii="宋体"/>
                <w:b/>
                <w:color w:val="000000"/>
                <w:sz w:val="20"/>
                <w:szCs w:val="20"/>
              </w:rPr>
              <w:t>邮箱</w:t>
            </w:r>
          </w:p>
        </w:tc>
        <w:tc>
          <w:tcPr>
            <w:tcW w:w="1986" w:type="dxa"/>
            <w:vAlign w:val="top"/>
          </w:tcPr>
          <w:p>
            <w:pPr>
              <w:rPr>
                <w:rFonts w:ascii="宋体" w:hAnsi="Times New Roman" w:eastAsia="宋体" w:cs="Times New Roman"/>
                <w:b/>
                <w:color w:val="000000"/>
                <w:kern w:val="2"/>
                <w:sz w:val="20"/>
                <w:szCs w:val="20"/>
                <w:lang w:val="en-US" w:eastAsia="zh-CN" w:bidi="ar-SA"/>
              </w:rPr>
            </w:pPr>
            <w:r>
              <w:rPr>
                <w:rFonts w:hint="eastAsia" w:ascii="宋体" w:hAnsi="宋体"/>
                <w:sz w:val="18"/>
                <w:szCs w:val="18"/>
              </w:rPr>
              <w:t>18689004444@189.cn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2019年9月1日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9" w:name="审核范围"/>
            <w:r>
              <w:rPr>
                <w:rFonts w:hint="eastAsia" w:ascii="宋体" w:hAnsi="宋体"/>
                <w:szCs w:val="21"/>
              </w:rPr>
              <w:t>电力铁附件、电力金具、井圈、井盖、标志牌、塑料管材、钢绞线、线路辅助材料、螺栓、通信抱杆、变压器、绝缘子、钢管、配电箱的销售及其场所所涉及的环境管理活动</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hint="eastAsia" w:ascii="宋体" w:eastAsia="宋体"/>
                <w:b/>
                <w:color w:val="000000"/>
                <w:sz w:val="20"/>
                <w:szCs w:val="20"/>
                <w:lang w:eastAsia="zh-CN"/>
              </w:rPr>
            </w:pPr>
            <w:r>
              <w:rPr>
                <w:rFonts w:hint="eastAsia" w:ascii="宋体"/>
                <w:b/>
                <w:color w:val="000000"/>
                <w:sz w:val="20"/>
                <w:szCs w:val="20"/>
                <w:lang w:eastAsia="zh-CN"/>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办公室、供销部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办公区域</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质量方针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z w:val="20"/>
                <w:szCs w:val="20"/>
              </w:rPr>
            </w:pPr>
            <w:r>
              <w:rPr>
                <w:rFonts w:hint="eastAsia" w:ascii="宋体" w:hAnsi="宋体"/>
                <w:color w:val="000000"/>
                <w:sz w:val="20"/>
                <w:szCs w:val="20"/>
              </w:rPr>
              <w:t>环境方针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94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5944" w:type="dxa"/>
            <w:gridSpan w:val="3"/>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目标是否合理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5954" w:type="dxa"/>
            <w:gridSpan w:val="4"/>
          </w:tcPr>
          <w:p>
            <w:pPr>
              <w:keepNext w:val="0"/>
              <w:keepLines w:val="0"/>
              <w:pageBreakBefore w:val="0"/>
              <w:widowControl w:val="0"/>
              <w:tabs>
                <w:tab w:val="left" w:pos="430"/>
              </w:tabs>
              <w:kinsoku/>
              <w:wordWrap/>
              <w:overflowPunct/>
              <w:topLinePunct w:val="0"/>
              <w:autoSpaceDE/>
              <w:autoSpaceDN/>
              <w:bidi w:val="0"/>
              <w:adjustRightInd/>
              <w:snapToGrid/>
              <w:spacing w:line="360" w:lineRule="exact"/>
              <w:ind w:left="400" w:hanging="400" w:hangingChars="200"/>
              <w:textAlignment w:val="auto"/>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300" w:hanging="300" w:hangingChars="150"/>
              <w:textAlignment w:val="auto"/>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4" w:leftChars="-21" w:hanging="40" w:hangingChars="20"/>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85" w:leftChars="88"/>
              <w:textAlignment w:val="auto"/>
              <w:rPr>
                <w:rFonts w:ascii="宋体"/>
                <w:color w:val="000000"/>
                <w:sz w:val="20"/>
                <w:szCs w:val="20"/>
              </w:rPr>
            </w:pPr>
          </w:p>
        </w:tc>
        <w:tc>
          <w:tcPr>
            <w:tcW w:w="595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szCs w:val="21"/>
              </w:rPr>
              <w:t>电力铁附件、电力金具、井圈、井盖、标志牌、塑料管材、钢绞线、线路辅助材料、螺栓、通信抱杆、变压器、绝缘子、钢管、配电箱的销售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b/>
                <w:color w:val="000000"/>
                <w:sz w:val="20"/>
                <w:szCs w:val="20"/>
              </w:rPr>
            </w:pPr>
            <w:r>
              <w:rPr>
                <w:rFonts w:hint="eastAsia" w:ascii="宋体" w:hAnsi="宋体"/>
                <w:b/>
                <w:color w:val="000000"/>
                <w:sz w:val="20"/>
                <w:szCs w:val="20"/>
              </w:rPr>
              <w:t>受审核方组织机构、职能、</w:t>
            </w:r>
          </w:p>
        </w:tc>
        <w:tc>
          <w:tcPr>
            <w:tcW w:w="6378" w:type="dxa"/>
          </w:tcPr>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管理层、办公室、供销部</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keepNext w:val="0"/>
              <w:keepLines w:val="0"/>
              <w:pageBreakBefore w:val="0"/>
              <w:widowControl w:val="0"/>
              <w:tabs>
                <w:tab w:val="left" w:pos="360"/>
              </w:tabs>
              <w:kinsoku/>
              <w:wordWrap/>
              <w:overflowPunct/>
              <w:topLinePunct w:val="0"/>
              <w:autoSpaceDE/>
              <w:autoSpaceDN/>
              <w:bidi w:val="0"/>
              <w:adjustRightInd/>
              <w:snapToGrid/>
              <w:spacing w:before="156" w:beforeLines="50" w:line="360" w:lineRule="exact"/>
              <w:ind w:left="357" w:hanging="357"/>
              <w:textAlignment w:val="auto"/>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keepNext w:val="0"/>
              <w:keepLines w:val="0"/>
              <w:pageBreakBefore w:val="0"/>
              <w:widowControl w:val="0"/>
              <w:tabs>
                <w:tab w:val="left" w:pos="33"/>
              </w:tabs>
              <w:kinsoku/>
              <w:wordWrap/>
              <w:overflowPunct/>
              <w:topLinePunct w:val="0"/>
              <w:autoSpaceDE/>
              <w:autoSpaceDN/>
              <w:bidi w:val="0"/>
              <w:adjustRightInd/>
              <w:snapToGrid/>
              <w:spacing w:line="360" w:lineRule="exact"/>
              <w:ind w:firstLine="33"/>
              <w:textAlignment w:val="auto"/>
              <w:rPr>
                <w:rFonts w:ascii="宋体"/>
                <w:b/>
                <w:color w:val="000000"/>
                <w:sz w:val="20"/>
                <w:szCs w:val="20"/>
              </w:rPr>
            </w:pPr>
            <w:r>
              <w:rPr>
                <w:rFonts w:hint="eastAsia" w:ascii="宋体" w:hAnsi="宋体"/>
                <w:b/>
                <w:color w:val="000000"/>
                <w:sz w:val="20"/>
                <w:szCs w:val="20"/>
              </w:rPr>
              <w:t>客户的场所：</w:t>
            </w:r>
            <w:r>
              <w:t>任丘市麻家坞镇南马庄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多场所情况</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60" w:hanging="360"/>
              <w:textAlignment w:val="auto"/>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9355" w:type="dxa"/>
            <w:gridSpan w:val="3"/>
          </w:tcPr>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概述受审核方现场具体情况：</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受审核方位于：</w:t>
            </w:r>
            <w:r>
              <w:t>任丘市麻家坞镇南马庄</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0"/>
                <w:szCs w:val="20"/>
              </w:rPr>
            </w:pPr>
            <w:r>
              <w:rPr>
                <w:rFonts w:hint="eastAsia" w:ascii="宋体" w:hAnsi="宋体"/>
                <w:b/>
                <w:color w:val="000000"/>
                <w:sz w:val="20"/>
                <w:szCs w:val="20"/>
              </w:rPr>
              <w:t>如有，请描述具体现场：</w:t>
            </w:r>
          </w:p>
          <w:p>
            <w:pPr>
              <w:keepNext w:val="0"/>
              <w:keepLines w:val="0"/>
              <w:pageBreakBefore w:val="0"/>
              <w:widowControl w:val="0"/>
              <w:tabs>
                <w:tab w:val="left" w:pos="360"/>
              </w:tabs>
              <w:kinsoku/>
              <w:wordWrap/>
              <w:overflowPunct/>
              <w:topLinePunct w:val="0"/>
              <w:autoSpaceDE/>
              <w:autoSpaceDN/>
              <w:bidi w:val="0"/>
              <w:adjustRightInd/>
              <w:snapToGrid/>
              <w:spacing w:line="360" w:lineRule="exact"/>
              <w:ind w:left="357" w:hanging="357"/>
              <w:textAlignment w:val="auto"/>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bookmarkStart w:id="10" w:name="_GoBack"/>
      <w:bookmarkEnd w:id="10"/>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51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多</w:t>
            </w:r>
            <w:r>
              <w:rPr>
                <w:rFonts w:hint="eastAsia" w:ascii="宋体" w:hAnsi="宋体"/>
                <w:color w:val="000000"/>
                <w:sz w:val="20"/>
                <w:szCs w:val="20"/>
              </w:rPr>
              <w:t>种产品，规格型号</w:t>
            </w:r>
            <w:r>
              <w:rPr>
                <w:rFonts w:hint="eastAsia" w:ascii="宋体" w:hAnsi="宋体"/>
                <w:color w:val="000000"/>
                <w:sz w:val="20"/>
                <w:szCs w:val="20"/>
                <w:lang w:val="en-US" w:eastAsia="zh-CN"/>
              </w:rPr>
              <w:t>多</w:t>
            </w:r>
            <w:r>
              <w:rPr>
                <w:rFonts w:hint="eastAsia" w:ascii="宋体" w:hAnsi="宋体"/>
                <w:color w:val="000000"/>
                <w:sz w:val="20"/>
                <w:szCs w:val="20"/>
              </w:rPr>
              <w:t>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361" w:leftChars="172" w:firstLine="1194" w:firstLineChars="597"/>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受审核方认证范围内的产品的技术标准，及符合性证据</w:t>
            </w:r>
          </w:p>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环境执行标准：</w:t>
            </w:r>
            <w:r>
              <w:rPr>
                <w:rFonts w:hint="eastAsia"/>
                <w:sz w:val="21"/>
                <w:szCs w:val="21"/>
                <w:u w:val="none"/>
              </w:rPr>
              <w:t>GB3095-2012《环境空气质量标准》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ind w:left="168" w:leftChars="80"/>
              <w:textAlignment w:val="auto"/>
              <w:rPr>
                <w:rFonts w:ascii="宋体"/>
                <w:color w:val="000000"/>
                <w:spacing w:val="-1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1" w:leftChars="-1" w:hanging="1"/>
              <w:jc w:val="left"/>
              <w:textAlignment w:val="auto"/>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服务提供流程</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z w:val="20"/>
                <w:szCs w:val="20"/>
              </w:rPr>
              <w:t>主要设备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Cs w:val="21"/>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主要监视和测量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设备</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满足产品要求所需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hAnsi="宋体"/>
                <w:color w:val="000000"/>
                <w:sz w:val="20"/>
                <w:szCs w:val="20"/>
              </w:rPr>
              <w:t>工作环境</w:t>
            </w:r>
          </w:p>
        </w:tc>
        <w:tc>
          <w:tcPr>
            <w:tcW w:w="742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ascii="宋体"/>
                <w:color w:val="000000"/>
                <w:sz w:val="20"/>
                <w:szCs w:val="20"/>
                <w:lang w:val="en-US" w:eastAsia="zh-CN"/>
              </w:rPr>
              <w:t>固废的排放、火灾的发生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57" w:firstLineChars="100"/>
        <w:rPr>
          <w:rFonts w:ascii="宋体"/>
          <w:b/>
          <w:color w:val="000000"/>
          <w:spacing w:val="-2"/>
          <w:sz w:val="22"/>
          <w:szCs w:val="22"/>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15</w:t>
            </w:r>
            <w:r>
              <w:rPr>
                <w:rFonts w:hint="eastAsia" w:ascii="宋体"/>
                <w:color w:val="000000"/>
                <w:sz w:val="20"/>
                <w:szCs w:val="20"/>
              </w:rPr>
              <w:t>人，其中管理人员：</w:t>
            </w:r>
            <w:r>
              <w:rPr>
                <w:rFonts w:hint="eastAsia" w:ascii="宋体"/>
                <w:color w:val="000000"/>
                <w:sz w:val="20"/>
                <w:szCs w:val="20"/>
                <w:lang w:val="en-US" w:eastAsia="zh-CN"/>
              </w:rPr>
              <w:t>3</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after="62" w:afterLines="20" w:line="360" w:lineRule="exact"/>
        <w:ind w:firstLine="257" w:firstLineChars="100"/>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重点审核过程：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办公室/供销部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了解内审结论是什么？</w:t>
            </w:r>
            <w:r>
              <w:rPr>
                <w:rFonts w:hint="eastAsia"/>
                <w:sz w:val="21"/>
                <w:szCs w:val="21"/>
              </w:rPr>
              <w:t>公司的</w:t>
            </w:r>
            <w:r>
              <w:rPr>
                <w:rFonts w:hint="eastAsia"/>
                <w:sz w:val="21"/>
                <w:szCs w:val="21"/>
                <w:lang w:val="en-US" w:eastAsia="zh-CN"/>
              </w:rPr>
              <w:t>环境</w:t>
            </w:r>
            <w:r>
              <w:rPr>
                <w:rFonts w:hint="eastAsia"/>
                <w:sz w:val="21"/>
                <w:szCs w:val="21"/>
              </w:rPr>
              <w:t>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Cs w:val="21"/>
                <w:lang w:val="en-US" w:eastAsia="zh-CN"/>
              </w:rPr>
            </w:pPr>
            <w:r>
              <w:rPr>
                <w:rFonts w:hint="eastAsia" w:ascii="宋体"/>
                <w:b/>
                <w:color w:val="000000"/>
                <w:szCs w:val="21"/>
                <w:lang w:val="en-US" w:eastAsia="zh-CN"/>
              </w:rPr>
              <w:t>是</w:t>
            </w: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rPr>
          <w:rFonts w:ascii="宋体"/>
          <w:b/>
          <w:color w:val="000000"/>
          <w:sz w:val="20"/>
          <w:szCs w:val="20"/>
        </w:rPr>
      </w:pPr>
      <w:r>
        <w:rPr>
          <w:rFonts w:hint="eastAsia" w:ascii="宋体" w:hAnsi="宋体"/>
          <w:szCs w:val="21"/>
        </w:rPr>
        <w:t>电力铁附件、电力金具、井圈、井盖、标志牌、塑料管材、钢绞线、线路辅助材料、螺栓、通信抱杆、变压器、绝缘子、钢管、配电箱的销售及其场所所涉及的环境管理活动</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吉洁</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hAnsi="宋体"/>
          <w:b/>
          <w:color w:val="000000"/>
          <w:lang w:val="en-US" w:eastAsia="zh-CN"/>
        </w:rPr>
        <w:t>/</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2019.12.31</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 xml:space="preserve"> 日期：</w:t>
            </w:r>
            <w:r>
              <w:rPr>
                <w:rFonts w:hint="eastAsia"/>
                <w:b/>
                <w:color w:val="000000"/>
                <w:sz w:val="22"/>
                <w:szCs w:val="22"/>
                <w:lang w:val="en-US" w:eastAsia="zh-CN"/>
              </w:rPr>
              <w:t xml:space="preserve">       </w:t>
            </w:r>
            <w:r>
              <w:rPr>
                <w:rFonts w:hint="eastAsia"/>
                <w:b/>
                <w:color w:val="000000"/>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B50EEA"/>
    <w:rsid w:val="43CF42E2"/>
    <w:rsid w:val="65636D3B"/>
    <w:rsid w:val="6F595B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5609</Words>
  <Characters>5862</Characters>
  <Lines>48</Lines>
  <Paragraphs>13</Paragraphs>
  <TotalTime>9</TotalTime>
  <ScaleCrop>false</ScaleCrop>
  <LinksUpToDate>false</LinksUpToDate>
  <CharactersWithSpaces>6005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2020-02-03T07:57:30Z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