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河北恒拓通信设备有限公司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0008-2020-E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解晶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18689004444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 w:ascii="宋体" w:hAnsi="宋体"/>
                <w:sz w:val="18"/>
                <w:szCs w:val="18"/>
              </w:rPr>
              <w:t>18689004444@189.cn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pacing w:val="20"/>
                <w:sz w:val="21"/>
                <w:szCs w:val="21"/>
                <w:lang w:eastAsia="zh-CN"/>
              </w:rPr>
              <w:t>解峰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电力铁附件、电力金具、井圈、井盖、标志牌、塑料管材、钢绞线、线路辅助材料、螺栓、通信抱杆、变压器、绝缘子、钢管、配电箱的销售及其场所所涉及的环境管理活动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2019年12月31日 下午至2019年12月31日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pPr w:leftFromText="180" w:rightFromText="180" w:vertAnchor="text" w:horzAnchor="page" w:tblpX="1076" w:tblpY="312"/>
        <w:tblOverlap w:val="never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25"/>
        <w:gridCol w:w="6454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bookmarkStart w:id="14" w:name="_GoBack"/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2019.12.31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13：00-13：30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13：30-14：30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资质查验；环境管理体系策划情况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过程识别和策划的充分性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有无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不适用条款，</w:t>
            </w:r>
            <w:r>
              <w:rPr>
                <w:rFonts w:hint="eastAsia"/>
                <w:sz w:val="21"/>
                <w:szCs w:val="21"/>
              </w:rPr>
              <w:t>有无分包及管理情况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管理体系范围界定的合理性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管理方针和目标的适宜</w:t>
            </w:r>
            <w:r>
              <w:rPr>
                <w:rFonts w:hint="eastAsia"/>
                <w:sz w:val="21"/>
                <w:szCs w:val="21"/>
                <w:lang w:eastAsia="zh-CN"/>
              </w:rPr>
              <w:t>性；</w:t>
            </w:r>
            <w:r>
              <w:rPr>
                <w:rFonts w:hint="eastAsia"/>
                <w:sz w:val="21"/>
                <w:szCs w:val="21"/>
              </w:rPr>
              <w:t>管理评审、内部审核策划和实施的符合性和可信性；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14：30-15：30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  <w:lang w:eastAsia="zh-CN"/>
              </w:rPr>
              <w:t>组织的知识、文件化信息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，合规义务及合规性评价情况；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7.1.6/7.5/6.1.2/6.1.3/9.1.2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15：30-16：30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环境因素识别及重要环境因素判定的合理性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目标、指标的合理性，管理方案的可行性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；应急准备及响应；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bookmarkEnd w:id="14"/>
    </w:tbl>
    <w:p>
      <w:pPr>
        <w:snapToGrid w:val="0"/>
        <w:spacing w:before="163" w:beforeLines="50" w:line="320" w:lineRule="exact"/>
        <w:ind w:firstLine="3750" w:firstLineChars="1250"/>
        <w:rPr>
          <w:rFonts w:eastAsia="隶书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35817"/>
    <w:rsid w:val="6B730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2020-01-13T11:09:56Z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