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eastAsia="宋体"/>
          <w:b/>
          <w:sz w:val="30"/>
          <w:szCs w:val="30"/>
          <w:lang w:eastAsia="zh-CN"/>
        </w:rPr>
      </w:pPr>
      <w:r>
        <w:rPr>
          <w:rFonts w:hint="eastAsia"/>
          <w:b/>
          <w:sz w:val="30"/>
          <w:szCs w:val="30"/>
        </w:rPr>
        <w:t xml:space="preserve">          </w:t>
      </w:r>
      <w:r>
        <w:rPr>
          <w:b/>
          <w:sz w:val="30"/>
          <w:szCs w:val="30"/>
        </w:rPr>
        <w:t xml:space="preserve">            </w:t>
      </w:r>
      <w:r>
        <w:rPr>
          <w:rFonts w:hint="eastAsia"/>
          <w:b/>
          <w:sz w:val="30"/>
          <w:szCs w:val="30"/>
        </w:rPr>
        <w:t>审核员</w:t>
      </w:r>
      <w:r>
        <w:rPr>
          <w:rFonts w:hint="eastAsia" w:ascii="宋体" w:hAnsi="宋体"/>
          <w:b/>
          <w:sz w:val="30"/>
          <w:szCs w:val="30"/>
        </w:rPr>
        <w:t>现场审核记录</w:t>
      </w:r>
      <w:bookmarkStart w:id="0" w:name="合同编号"/>
      <w:r>
        <w:rPr>
          <w:rFonts w:hint="eastAsia" w:ascii="宋体" w:hAnsi="宋体"/>
          <w:b/>
          <w:sz w:val="30"/>
          <w:szCs w:val="30"/>
        </w:rPr>
        <w:t xml:space="preserve">            </w:t>
      </w:r>
      <w:r>
        <w:rPr>
          <w:rFonts w:hint="eastAsia" w:ascii="宋体" w:hAnsi="宋体"/>
          <w:bCs/>
          <w:szCs w:val="21"/>
        </w:rPr>
        <w:t>编号</w:t>
      </w:r>
      <w:r>
        <w:rPr>
          <w:rFonts w:hint="eastAsia" w:ascii="宋体" w:hAnsi="宋体"/>
          <w:b/>
          <w:sz w:val="30"/>
          <w:szCs w:val="30"/>
        </w:rPr>
        <w:t xml:space="preserve"> </w:t>
      </w:r>
      <w:bookmarkEnd w:id="0"/>
      <w:r>
        <w:rPr>
          <w:sz w:val="20"/>
          <w:szCs w:val="28"/>
          <w:u w:val="single"/>
        </w:rPr>
        <w:t>0172-2019-202</w:t>
      </w:r>
      <w:r>
        <w:rPr>
          <w:rFonts w:hint="eastAsia"/>
          <w:sz w:val="20"/>
          <w:szCs w:val="28"/>
          <w:u w:val="single"/>
          <w:lang w:val="en-US" w:eastAsia="zh-CN"/>
        </w:rPr>
        <w:t>2</w:t>
      </w:r>
    </w:p>
    <w:p>
      <w:pPr>
        <w:spacing w:line="360" w:lineRule="auto"/>
        <w:rPr>
          <w:rFonts w:ascii="宋体" w:hAnsi="宋体"/>
          <w:szCs w:val="21"/>
        </w:rPr>
      </w:pPr>
      <w:r>
        <w:rPr>
          <w:rFonts w:hint="eastAsia" w:ascii="宋体" w:hAnsi="宋体"/>
          <w:szCs w:val="21"/>
        </w:rPr>
        <w:drawing>
          <wp:anchor distT="0" distB="0" distL="114300" distR="114300" simplePos="0" relativeHeight="251659264" behindDoc="0" locked="0" layoutInCell="1" allowOverlap="1">
            <wp:simplePos x="0" y="0"/>
            <wp:positionH relativeFrom="column">
              <wp:posOffset>638175</wp:posOffset>
            </wp:positionH>
            <wp:positionV relativeFrom="paragraph">
              <wp:posOffset>269240</wp:posOffset>
            </wp:positionV>
            <wp:extent cx="675005" cy="305435"/>
            <wp:effectExtent l="0" t="0" r="10795" b="12065"/>
            <wp:wrapNone/>
            <wp:docPr id="4" name="图片 4" descr="谢力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谢力民"/>
                    <pic:cNvPicPr>
                      <a:picLocks noChangeAspect="1"/>
                    </pic:cNvPicPr>
                  </pic:nvPicPr>
                  <pic:blipFill>
                    <a:blip r:embed="rId6"/>
                    <a:stretch>
                      <a:fillRect/>
                    </a:stretch>
                  </pic:blipFill>
                  <pic:spPr>
                    <a:xfrm>
                      <a:off x="0" y="0"/>
                      <a:ext cx="675005" cy="305435"/>
                    </a:xfrm>
                    <a:prstGeom prst="rect">
                      <a:avLst/>
                    </a:prstGeom>
                  </pic:spPr>
                </pic:pic>
              </a:graphicData>
            </a:graphic>
          </wp:anchor>
        </w:drawing>
      </w:r>
      <w:r>
        <w:rPr>
          <w:rFonts w:hint="eastAsia"/>
          <w:sz w:val="24"/>
          <w:szCs w:val="24"/>
        </w:rPr>
        <w:t>企业名称：</w:t>
      </w:r>
      <w:bookmarkStart w:id="1" w:name="组织名称"/>
      <w:r>
        <w:rPr>
          <w:rFonts w:hint="eastAsia" w:ascii="宋体" w:hAnsi="宋体"/>
          <w:szCs w:val="21"/>
          <w:u w:val="single"/>
        </w:rPr>
        <w:t>宁波喜悦智行科技股份有限公司</w:t>
      </w:r>
      <w:bookmarkEnd w:id="1"/>
    </w:p>
    <w:p>
      <w:pPr>
        <w:spacing w:line="360" w:lineRule="auto"/>
        <w:rPr>
          <w:sz w:val="24"/>
          <w:szCs w:val="24"/>
        </w:rPr>
      </w:pPr>
      <w:r>
        <w:rPr>
          <w:rFonts w:hint="eastAsia" w:ascii="宋体" w:hAnsi="宋体"/>
          <w:sz w:val="24"/>
          <w:szCs w:val="24"/>
        </w:rPr>
        <w:t>审核员：</w:t>
      </w:r>
      <w:r>
        <w:rPr>
          <w:rFonts w:hint="eastAsia" w:ascii="宋体" w:hAnsi="宋体"/>
          <w:szCs w:val="21"/>
        </w:rPr>
        <w:t xml:space="preserve">       </w:t>
      </w:r>
      <w:r>
        <w:rPr>
          <w:rFonts w:ascii="宋体" w:hAnsi="宋体"/>
          <w:szCs w:val="21"/>
        </w:rPr>
        <w:t xml:space="preserve">                   </w:t>
      </w:r>
      <w:r>
        <w:rPr>
          <w:rFonts w:hint="eastAsia"/>
          <w:sz w:val="24"/>
          <w:szCs w:val="24"/>
        </w:rPr>
        <w:t xml:space="preserve"> 审核日期：202</w:t>
      </w:r>
      <w:r>
        <w:rPr>
          <w:rFonts w:hint="eastAsia"/>
          <w:sz w:val="24"/>
          <w:szCs w:val="24"/>
          <w:lang w:val="en-US" w:eastAsia="zh-CN"/>
        </w:rPr>
        <w:t>2</w:t>
      </w:r>
      <w:r>
        <w:rPr>
          <w:rFonts w:hint="eastAsia"/>
          <w:sz w:val="24"/>
          <w:szCs w:val="24"/>
        </w:rPr>
        <w:t>年10月15</w:t>
      </w:r>
      <w:r>
        <w:rPr>
          <w:rFonts w:hint="eastAsia"/>
          <w:sz w:val="24"/>
          <w:szCs w:val="24"/>
          <w:lang w:val="en-US" w:eastAsia="zh-CN"/>
        </w:rPr>
        <w:t>~16</w:t>
      </w:r>
      <w:r>
        <w:rPr>
          <w:rFonts w:hint="eastAsia"/>
          <w:sz w:val="24"/>
          <w:szCs w:val="24"/>
        </w:rPr>
        <w:t xml:space="preserve">日 </w:t>
      </w:r>
    </w:p>
    <w:tbl>
      <w:tblPr>
        <w:tblStyle w:val="7"/>
        <w:tblW w:w="10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1925"/>
        <w:gridCol w:w="993"/>
        <w:gridCol w:w="4789"/>
        <w:gridCol w:w="1289"/>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51" w:type="dxa"/>
            <w:vAlign w:val="center"/>
          </w:tcPr>
          <w:p>
            <w:pPr>
              <w:spacing w:line="240" w:lineRule="auto"/>
              <w:rPr>
                <w:szCs w:val="21"/>
              </w:rPr>
            </w:pPr>
            <w:r>
              <w:rPr>
                <w:rFonts w:hint="eastAsia"/>
                <w:szCs w:val="21"/>
              </w:rPr>
              <w:t>序号</w:t>
            </w:r>
          </w:p>
          <w:p>
            <w:pPr>
              <w:spacing w:line="240" w:lineRule="auto"/>
              <w:rPr>
                <w:szCs w:val="21"/>
              </w:rPr>
            </w:pPr>
          </w:p>
        </w:tc>
        <w:tc>
          <w:tcPr>
            <w:tcW w:w="1925" w:type="dxa"/>
            <w:vAlign w:val="center"/>
          </w:tcPr>
          <w:p>
            <w:pPr>
              <w:spacing w:line="240" w:lineRule="auto"/>
              <w:rPr>
                <w:rFonts w:ascii="宋体" w:hAnsi="宋体"/>
                <w:szCs w:val="21"/>
              </w:rPr>
            </w:pPr>
            <w:r>
              <w:rPr>
                <w:rFonts w:hint="eastAsia"/>
                <w:szCs w:val="21"/>
              </w:rPr>
              <w:t>审核</w:t>
            </w:r>
            <w:r>
              <w:rPr>
                <w:rFonts w:hint="eastAsia" w:ascii="宋体" w:hAnsi="宋体"/>
                <w:szCs w:val="21"/>
              </w:rPr>
              <w:t>内容</w:t>
            </w:r>
          </w:p>
          <w:p>
            <w:pPr>
              <w:spacing w:line="240" w:lineRule="auto"/>
              <w:rPr>
                <w:rFonts w:ascii="宋体" w:hAnsi="宋体"/>
                <w:szCs w:val="21"/>
              </w:rPr>
            </w:pPr>
            <w:r>
              <w:rPr>
                <w:rFonts w:hint="eastAsia" w:ascii="宋体" w:hAnsi="宋体"/>
                <w:szCs w:val="21"/>
              </w:rPr>
              <w:t>及抽样要求</w:t>
            </w:r>
          </w:p>
        </w:tc>
        <w:tc>
          <w:tcPr>
            <w:tcW w:w="993" w:type="dxa"/>
            <w:vAlign w:val="center"/>
          </w:tcPr>
          <w:p>
            <w:pPr>
              <w:spacing w:line="240" w:lineRule="auto"/>
              <w:rPr>
                <w:rFonts w:ascii="宋体" w:hAnsi="宋体"/>
                <w:sz w:val="18"/>
                <w:szCs w:val="18"/>
              </w:rPr>
            </w:pPr>
            <w:r>
              <w:rPr>
                <w:rFonts w:hint="eastAsia" w:ascii="宋体" w:hAnsi="宋体"/>
                <w:sz w:val="18"/>
                <w:szCs w:val="18"/>
              </w:rPr>
              <w:t>对应的</w:t>
            </w:r>
          </w:p>
          <w:p>
            <w:pPr>
              <w:spacing w:line="240" w:lineRule="auto"/>
              <w:rPr>
                <w:rFonts w:ascii="宋体" w:hAnsi="宋体"/>
                <w:sz w:val="18"/>
                <w:szCs w:val="18"/>
              </w:rPr>
            </w:pPr>
            <w:r>
              <w:rPr>
                <w:rFonts w:hint="eastAsia" w:ascii="宋体" w:hAnsi="宋体"/>
                <w:sz w:val="18"/>
                <w:szCs w:val="18"/>
              </w:rPr>
              <w:t>标准条款</w:t>
            </w:r>
          </w:p>
        </w:tc>
        <w:tc>
          <w:tcPr>
            <w:tcW w:w="4789" w:type="dxa"/>
            <w:vAlign w:val="center"/>
          </w:tcPr>
          <w:p>
            <w:pPr>
              <w:spacing w:line="240" w:lineRule="auto"/>
              <w:jc w:val="center"/>
              <w:rPr>
                <w:rFonts w:ascii="宋体" w:hAnsi="宋体"/>
                <w:szCs w:val="21"/>
              </w:rPr>
            </w:pPr>
            <w:r>
              <w:rPr>
                <w:rFonts w:hint="eastAsia" w:ascii="宋体" w:hAnsi="宋体"/>
                <w:szCs w:val="21"/>
              </w:rPr>
              <w:t>审核记录</w:t>
            </w:r>
          </w:p>
          <w:p>
            <w:pPr>
              <w:spacing w:line="240" w:lineRule="auto"/>
              <w:jc w:val="center"/>
              <w:rPr>
                <w:rFonts w:ascii="宋体" w:hAnsi="宋体"/>
                <w:szCs w:val="21"/>
              </w:rPr>
            </w:pPr>
            <w:r>
              <w:rPr>
                <w:rFonts w:hint="eastAsia" w:ascii="宋体" w:hAnsi="宋体"/>
                <w:szCs w:val="21"/>
              </w:rPr>
              <w:t>及说明</w:t>
            </w:r>
          </w:p>
        </w:tc>
        <w:tc>
          <w:tcPr>
            <w:tcW w:w="1289" w:type="dxa"/>
            <w:vAlign w:val="center"/>
          </w:tcPr>
          <w:p>
            <w:pPr>
              <w:spacing w:line="240" w:lineRule="auto"/>
              <w:rPr>
                <w:rFonts w:ascii="宋体" w:hAnsi="宋体"/>
                <w:szCs w:val="21"/>
              </w:rPr>
            </w:pPr>
            <w:r>
              <w:rPr>
                <w:rFonts w:hint="eastAsia"/>
                <w:szCs w:val="21"/>
              </w:rPr>
              <w:t>审核部门</w:t>
            </w:r>
          </w:p>
        </w:tc>
        <w:tc>
          <w:tcPr>
            <w:tcW w:w="892" w:type="dxa"/>
            <w:vAlign w:val="center"/>
          </w:tcPr>
          <w:p>
            <w:pPr>
              <w:spacing w:line="240" w:lineRule="auto"/>
              <w:jc w:val="center"/>
              <w:rPr>
                <w:rFonts w:ascii="宋体" w:hAnsi="宋体"/>
                <w:szCs w:val="21"/>
              </w:rPr>
            </w:pPr>
            <w:r>
              <w:rPr>
                <w:rFonts w:hint="eastAsia" w:ascii="宋体" w:hAnsi="宋体"/>
                <w:szCs w:val="21"/>
              </w:rPr>
              <w:t>是否列入</w:t>
            </w:r>
          </w:p>
          <w:p>
            <w:pPr>
              <w:spacing w:line="240" w:lineRule="auto"/>
              <w:jc w:val="center"/>
              <w:rPr>
                <w:rFonts w:ascii="宋体" w:hAnsi="宋体"/>
                <w:szCs w:val="21"/>
              </w:rPr>
            </w:pPr>
            <w:r>
              <w:rPr>
                <w:rFonts w:hint="eastAsia" w:ascii="宋体" w:hAnsi="宋体"/>
                <w:szCs w:val="21"/>
              </w:rPr>
              <w:t>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3" w:hRule="atLeast"/>
          <w:jc w:val="center"/>
        </w:trPr>
        <w:tc>
          <w:tcPr>
            <w:tcW w:w="451" w:type="dxa"/>
            <w:vAlign w:val="center"/>
          </w:tcPr>
          <w:p>
            <w:pPr>
              <w:spacing w:line="240" w:lineRule="auto"/>
              <w:rPr>
                <w:rFonts w:ascii="宋体" w:hAnsi="宋体"/>
                <w:szCs w:val="21"/>
                <w:highlight w:val="red"/>
              </w:rPr>
            </w:pPr>
            <w:r>
              <w:rPr>
                <w:rFonts w:hint="eastAsia" w:ascii="宋体" w:hAnsi="宋体"/>
                <w:szCs w:val="21"/>
              </w:rPr>
              <w:t>2</w:t>
            </w:r>
          </w:p>
        </w:tc>
        <w:tc>
          <w:tcPr>
            <w:tcW w:w="1925" w:type="dxa"/>
            <w:vAlign w:val="center"/>
          </w:tcPr>
          <w:p>
            <w:pPr>
              <w:spacing w:line="240" w:lineRule="auto"/>
              <w:rPr>
                <w:rFonts w:ascii="宋体" w:hAnsi="宋体"/>
                <w:szCs w:val="21"/>
              </w:rPr>
            </w:pPr>
            <w:r>
              <w:rPr>
                <w:rFonts w:hint="eastAsia" w:ascii="宋体" w:hAnsi="宋体"/>
                <w:szCs w:val="21"/>
              </w:rPr>
              <w:t>抽查企业(4-5)台件测量设备是否处于有效的校准状态？</w:t>
            </w:r>
          </w:p>
          <w:p>
            <w:pPr>
              <w:spacing w:line="240" w:lineRule="auto"/>
              <w:rPr>
                <w:rFonts w:ascii="宋体" w:hAnsi="宋体"/>
                <w:szCs w:val="21"/>
              </w:rPr>
            </w:pPr>
            <w:r>
              <w:rPr>
                <w:rFonts w:hint="eastAsia" w:ascii="宋体" w:hAnsi="宋体"/>
                <w:szCs w:val="21"/>
              </w:rPr>
              <w:t>是否有计量确认状态标识？</w:t>
            </w:r>
          </w:p>
          <w:p>
            <w:pPr>
              <w:spacing w:line="240" w:lineRule="auto"/>
              <w:rPr>
                <w:rFonts w:ascii="宋体" w:hAnsi="宋体"/>
                <w:szCs w:val="21"/>
              </w:rPr>
            </w:pPr>
            <w:r>
              <w:rPr>
                <w:rFonts w:hint="eastAsia" w:ascii="宋体" w:hAnsi="宋体"/>
                <w:szCs w:val="21"/>
              </w:rPr>
              <w:t>测量设备的有关信息是否和检定证书台账信息一致。</w:t>
            </w:r>
          </w:p>
          <w:p>
            <w:pPr>
              <w:spacing w:line="240" w:lineRule="auto"/>
              <w:rPr>
                <w:rFonts w:ascii="宋体" w:hAnsi="宋体"/>
                <w:szCs w:val="21"/>
              </w:rPr>
            </w:pPr>
          </w:p>
          <w:p>
            <w:pPr>
              <w:spacing w:line="240" w:lineRule="auto"/>
              <w:rPr>
                <w:rFonts w:ascii="宋体" w:hAnsi="宋体"/>
                <w:szCs w:val="21"/>
              </w:rPr>
            </w:pPr>
          </w:p>
        </w:tc>
        <w:tc>
          <w:tcPr>
            <w:tcW w:w="993" w:type="dxa"/>
            <w:vAlign w:val="center"/>
          </w:tcPr>
          <w:p>
            <w:pPr>
              <w:spacing w:line="240" w:lineRule="auto"/>
              <w:rPr>
                <w:rFonts w:ascii="宋体" w:hAnsi="宋体"/>
                <w:szCs w:val="21"/>
              </w:rPr>
            </w:pPr>
            <w:r>
              <w:rPr>
                <w:rFonts w:hint="eastAsia" w:ascii="宋体" w:hAnsi="宋体"/>
                <w:szCs w:val="21"/>
              </w:rPr>
              <w:t>6.2.4标识</w:t>
            </w:r>
          </w:p>
          <w:p>
            <w:pPr>
              <w:spacing w:line="240" w:lineRule="auto"/>
              <w:rPr>
                <w:rFonts w:ascii="宋体" w:hAnsi="宋体"/>
                <w:szCs w:val="21"/>
              </w:rPr>
            </w:pPr>
            <w:r>
              <w:rPr>
                <w:rFonts w:hint="eastAsia" w:ascii="宋体" w:hAnsi="宋体"/>
                <w:szCs w:val="21"/>
              </w:rPr>
              <w:t>6.3.1</w:t>
            </w:r>
            <w:r>
              <w:rPr>
                <w:rFonts w:hint="eastAsia"/>
                <w:sz w:val="20"/>
              </w:rPr>
              <w:t>测量设备</w:t>
            </w:r>
            <w:r>
              <w:rPr>
                <w:rFonts w:hint="eastAsia" w:ascii="宋体" w:hAnsi="宋体"/>
                <w:szCs w:val="21"/>
              </w:rPr>
              <w:t>6.3.2</w:t>
            </w:r>
          </w:p>
          <w:p>
            <w:pPr>
              <w:spacing w:line="240" w:lineRule="auto"/>
              <w:rPr>
                <w:rFonts w:ascii="宋体" w:hAnsi="宋体"/>
                <w:szCs w:val="21"/>
              </w:rPr>
            </w:pPr>
            <w:r>
              <w:rPr>
                <w:rFonts w:hint="eastAsia" w:ascii="宋体" w:hAnsi="宋体"/>
                <w:szCs w:val="21"/>
              </w:rPr>
              <w:t>环境</w:t>
            </w:r>
          </w:p>
          <w:p>
            <w:pPr>
              <w:spacing w:line="240" w:lineRule="auto"/>
              <w:rPr>
                <w:rFonts w:ascii="宋体" w:hAnsi="宋体"/>
                <w:szCs w:val="21"/>
              </w:rPr>
            </w:pPr>
            <w:r>
              <w:rPr>
                <w:rFonts w:hint="eastAsia" w:ascii="宋体" w:hAnsi="宋体"/>
                <w:szCs w:val="21"/>
              </w:rPr>
              <w:t>7.3.2溯源性</w:t>
            </w:r>
          </w:p>
        </w:tc>
        <w:tc>
          <w:tcPr>
            <w:tcW w:w="4789" w:type="dxa"/>
            <w:vAlign w:val="center"/>
          </w:tcPr>
          <w:p>
            <w:pPr>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抽查现场5台测量设备，都处于有效的校准／检定状态，测量设备有计量确认状态标识，标识清晰，由慈溪市质量技术监督检验检测服务中心、广东中准检测有限公司检定或校准，使用符合要求。</w:t>
            </w:r>
          </w:p>
          <w:p>
            <w:pPr>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查：</w:t>
            </w:r>
          </w:p>
          <w:p>
            <w:pPr>
              <w:spacing w:line="240" w:lineRule="auto"/>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1、生产部（生产车间）压力表，</w:t>
            </w:r>
            <w:r>
              <w:rPr>
                <w:rFonts w:hint="eastAsia" w:ascii="宋体" w:hAnsi="宋体"/>
                <w:color w:val="000000" w:themeColor="text1"/>
                <w:szCs w:val="21"/>
                <w:lang w:val="en-US" w:eastAsia="zh-CN"/>
                <w14:textFill>
                  <w14:solidFill>
                    <w14:schemeClr w14:val="tx1"/>
                  </w14:solidFill>
                </w14:textFill>
              </w:rPr>
              <w:t>检定单位：</w:t>
            </w:r>
            <w:r>
              <w:rPr>
                <w:rFonts w:hint="eastAsia" w:ascii="宋体" w:hAnsi="宋体"/>
                <w:color w:val="000000" w:themeColor="text1"/>
                <w:szCs w:val="21"/>
                <w14:textFill>
                  <w14:solidFill>
                    <w14:schemeClr w14:val="tx1"/>
                  </w14:solidFill>
                </w14:textFill>
              </w:rPr>
              <w:t>溪市质量技术监督检验检测服务中心</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编号:JOY-101，检定证书编号：RD06-2</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09</w:t>
            </w:r>
            <w:r>
              <w:rPr>
                <w:rFonts w:hint="eastAsia" w:ascii="宋体" w:hAnsi="宋体"/>
                <w:color w:val="000000" w:themeColor="text1"/>
                <w:szCs w:val="21"/>
                <w:lang w:val="en-US" w:eastAsia="zh-CN"/>
                <w14:textFill>
                  <w14:solidFill>
                    <w14:schemeClr w14:val="tx1"/>
                  </w14:solidFill>
                </w14:textFill>
              </w:rPr>
              <w:t>26115</w:t>
            </w:r>
            <w:r>
              <w:rPr>
                <w:rFonts w:hint="eastAsia" w:ascii="宋体" w:hAnsi="宋体"/>
                <w:color w:val="000000" w:themeColor="text1"/>
                <w:szCs w:val="21"/>
                <w14:textFill>
                  <w14:solidFill>
                    <w14:schemeClr w14:val="tx1"/>
                  </w14:solidFill>
                </w14:textFill>
              </w:rPr>
              <w:t>,检定日期：202</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.09.</w:t>
            </w:r>
            <w:r>
              <w:rPr>
                <w:rFonts w:hint="eastAsia" w:ascii="宋体" w:hAnsi="宋体"/>
                <w:color w:val="000000" w:themeColor="text1"/>
                <w:szCs w:val="21"/>
                <w:lang w:val="en-US" w:eastAsia="zh-CN"/>
                <w14:textFill>
                  <w14:solidFill>
                    <w14:schemeClr w14:val="tx1"/>
                  </w14:solidFill>
                </w14:textFill>
              </w:rPr>
              <w:t>26</w:t>
            </w:r>
            <w:r>
              <w:rPr>
                <w:rFonts w:hint="eastAsia" w:ascii="宋体" w:hAnsi="宋体"/>
                <w:color w:val="000000" w:themeColor="text1"/>
                <w:szCs w:val="21"/>
                <w14:textFill>
                  <w14:solidFill>
                    <w14:schemeClr w14:val="tx1"/>
                  </w14:solidFill>
                </w14:textFill>
              </w:rPr>
              <w:t>，有效期：6个月；</w:t>
            </w:r>
            <w:r>
              <w:rPr>
                <w:rFonts w:hint="eastAsia" w:ascii="宋体" w:hAnsi="宋体"/>
                <w:color w:val="000000" w:themeColor="text1"/>
                <w:szCs w:val="21"/>
                <w:lang w:val="en-US" w:eastAsia="zh-CN"/>
                <w14:textFill>
                  <w14:solidFill>
                    <w14:schemeClr w14:val="tx1"/>
                  </w14:solidFill>
                </w14:textFill>
              </w:rPr>
              <w:t>编号：JOY-103，</w:t>
            </w:r>
            <w:r>
              <w:rPr>
                <w:rFonts w:hint="eastAsia" w:ascii="宋体" w:hAnsi="宋体"/>
                <w:color w:val="000000" w:themeColor="text1"/>
                <w:szCs w:val="21"/>
                <w14:textFill>
                  <w14:solidFill>
                    <w14:schemeClr w14:val="tx1"/>
                  </w14:solidFill>
                </w14:textFill>
              </w:rPr>
              <w:t>检定证书编号：RD06-2</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09</w:t>
            </w:r>
            <w:r>
              <w:rPr>
                <w:rFonts w:hint="eastAsia" w:ascii="宋体" w:hAnsi="宋体"/>
                <w:color w:val="000000" w:themeColor="text1"/>
                <w:szCs w:val="21"/>
                <w:lang w:val="en-US" w:eastAsia="zh-CN"/>
                <w14:textFill>
                  <w14:solidFill>
                    <w14:schemeClr w14:val="tx1"/>
                  </w14:solidFill>
                </w14:textFill>
              </w:rPr>
              <w:t>26123，</w:t>
            </w:r>
            <w:r>
              <w:rPr>
                <w:rFonts w:hint="eastAsia" w:ascii="宋体" w:hAnsi="宋体"/>
                <w:color w:val="000000" w:themeColor="text1"/>
                <w:szCs w:val="21"/>
                <w14:textFill>
                  <w14:solidFill>
                    <w14:schemeClr w14:val="tx1"/>
                  </w14:solidFill>
                </w14:textFill>
              </w:rPr>
              <w:t>检定日期：202</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.09.</w:t>
            </w:r>
            <w:r>
              <w:rPr>
                <w:rFonts w:hint="eastAsia" w:ascii="宋体" w:hAnsi="宋体"/>
                <w:color w:val="000000" w:themeColor="text1"/>
                <w:szCs w:val="21"/>
                <w:lang w:val="en-US" w:eastAsia="zh-CN"/>
                <w14:textFill>
                  <w14:solidFill>
                    <w14:schemeClr w14:val="tx1"/>
                  </w14:solidFill>
                </w14:textFill>
              </w:rPr>
              <w:t>26</w:t>
            </w:r>
            <w:r>
              <w:rPr>
                <w:rFonts w:hint="eastAsia" w:ascii="宋体" w:hAnsi="宋体"/>
                <w:color w:val="000000" w:themeColor="text1"/>
                <w:szCs w:val="21"/>
                <w14:textFill>
                  <w14:solidFill>
                    <w14:schemeClr w14:val="tx1"/>
                  </w14:solidFill>
                </w14:textFill>
              </w:rPr>
              <w:t>，有效期：6个月；</w:t>
            </w:r>
          </w:p>
          <w:p>
            <w:pPr>
              <w:spacing w:line="24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2、品质部</w:t>
            </w:r>
            <w:r>
              <w:rPr>
                <w:rFonts w:hint="eastAsia" w:ascii="宋体" w:hAnsi="宋体"/>
                <w:color w:val="000000" w:themeColor="text1"/>
                <w:szCs w:val="21"/>
                <w:lang w:val="en-US" w:eastAsia="zh-CN"/>
                <w14:textFill>
                  <w14:solidFill>
                    <w14:schemeClr w14:val="tx1"/>
                  </w14:solidFill>
                </w14:textFill>
              </w:rPr>
              <w:t>里</w:t>
            </w:r>
            <w:r>
              <w:rPr>
                <w:rFonts w:hint="eastAsia" w:ascii="宋体" w:hAnsi="宋体"/>
                <w:color w:val="000000" w:themeColor="text1"/>
                <w:szCs w:val="21"/>
                <w14:textFill>
                  <w14:solidFill>
                    <w14:schemeClr w14:val="tx1"/>
                  </w14:solidFill>
                </w14:textFill>
              </w:rPr>
              <w:t>氏硬度计，</w:t>
            </w:r>
            <w:r>
              <w:rPr>
                <w:rFonts w:hint="eastAsia" w:ascii="宋体" w:hAnsi="宋体"/>
                <w:color w:val="000000" w:themeColor="text1"/>
                <w:szCs w:val="21"/>
                <w:lang w:val="en-US" w:eastAsia="zh-CN"/>
                <w14:textFill>
                  <w14:solidFill>
                    <w14:schemeClr w14:val="tx1"/>
                  </w14:solidFill>
                </w14:textFill>
              </w:rPr>
              <w:t>校准单位：</w:t>
            </w:r>
            <w:r>
              <w:rPr>
                <w:rFonts w:hint="eastAsia" w:ascii="宋体" w:hAnsi="宋体"/>
                <w:color w:val="000000" w:themeColor="text1"/>
                <w:szCs w:val="21"/>
                <w14:textFill>
                  <w14:solidFill>
                    <w14:schemeClr w14:val="tx1"/>
                  </w14:solidFill>
                </w14:textFill>
              </w:rPr>
              <w:t>广东中准检测有限公司</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编号：JOY-00</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，证书编号：</w:t>
            </w:r>
            <w:r>
              <w:rPr>
                <w:rFonts w:hint="eastAsia" w:ascii="宋体" w:hAnsi="宋体"/>
                <w:color w:val="000000" w:themeColor="text1"/>
                <w:szCs w:val="21"/>
                <w:lang w:val="en-US" w:eastAsia="zh-CN"/>
                <w14:textFill>
                  <w14:solidFill>
                    <w14:schemeClr w14:val="tx1"/>
                  </w14:solidFill>
                </w14:textFill>
              </w:rPr>
              <w:t>122ZA004650022</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校准日期：202</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29</w:t>
            </w:r>
            <w:r>
              <w:rPr>
                <w:rFonts w:hint="eastAsia" w:ascii="宋体" w:hAnsi="宋体"/>
                <w:color w:val="000000" w:themeColor="text1"/>
                <w:szCs w:val="21"/>
                <w14:textFill>
                  <w14:solidFill>
                    <w14:schemeClr w14:val="tx1"/>
                  </w14:solidFill>
                </w14:textFill>
              </w:rPr>
              <w:t>，有效期12个月；</w:t>
            </w:r>
          </w:p>
          <w:p>
            <w:pPr>
              <w:spacing w:line="240" w:lineRule="auto"/>
              <w:jc w:val="left"/>
              <w:rPr>
                <w:rFonts w:eastAsia="新宋体"/>
                <w:szCs w:val="21"/>
              </w:rPr>
            </w:pPr>
            <w:r>
              <w:rPr>
                <w:rFonts w:hint="eastAsia" w:ascii="宋体" w:hAnsi="宋体"/>
                <w:color w:val="000000" w:themeColor="text1"/>
                <w:szCs w:val="21"/>
                <w14:textFill>
                  <w14:solidFill>
                    <w14:schemeClr w14:val="tx1"/>
                  </w14:solidFill>
                </w14:textFill>
              </w:rPr>
              <w:t>3、</w:t>
            </w:r>
            <w:r>
              <w:rPr>
                <w:rFonts w:hint="eastAsia" w:eastAsia="新宋体"/>
                <w:szCs w:val="21"/>
              </w:rPr>
              <w:t>品质部</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三坐标测量机</w:t>
            </w:r>
            <w:r>
              <w:rPr>
                <w:rFonts w:hint="eastAsia" w:ascii="宋体" w:hAnsi="宋体"/>
                <w:color w:val="000000" w:themeColor="text1"/>
                <w:szCs w:val="21"/>
                <w14:textFill>
                  <w14:solidFill>
                    <w14:schemeClr w14:val="tx1"/>
                  </w14:solidFill>
                </w14:textFill>
              </w:rPr>
              <w:t>，编号：JOY-102，校准证书编号：</w:t>
            </w:r>
            <w:r>
              <w:rPr>
                <w:rFonts w:hint="eastAsia" w:ascii="宋体" w:hAnsi="宋体"/>
                <w:color w:val="000000" w:themeColor="text1"/>
                <w:szCs w:val="21"/>
                <w:lang w:val="en-US" w:eastAsia="zh-CN"/>
                <w14:textFill>
                  <w14:solidFill>
                    <w14:schemeClr w14:val="tx1"/>
                  </w14:solidFill>
                </w14:textFill>
              </w:rPr>
              <w:t>122ZA004660004</w:t>
            </w:r>
            <w:r>
              <w:rPr>
                <w:rFonts w:hint="eastAsia" w:ascii="宋体" w:hAnsi="宋体"/>
                <w:color w:val="000000" w:themeColor="text1"/>
                <w:szCs w:val="21"/>
                <w14:textFill>
                  <w14:solidFill>
                    <w14:schemeClr w14:val="tx1"/>
                  </w14:solidFill>
                </w14:textFill>
              </w:rPr>
              <w:t>,校准日期：202</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29</w:t>
            </w:r>
            <w:r>
              <w:rPr>
                <w:rFonts w:hint="eastAsia" w:ascii="宋体" w:hAnsi="宋体"/>
                <w:color w:val="000000" w:themeColor="text1"/>
                <w:szCs w:val="21"/>
                <w14:textFill>
                  <w14:solidFill>
                    <w14:schemeClr w14:val="tx1"/>
                  </w14:solidFill>
                </w14:textFill>
              </w:rPr>
              <w:t>；</w:t>
            </w:r>
          </w:p>
          <w:p>
            <w:pPr>
              <w:spacing w:line="240" w:lineRule="auto"/>
              <w:rPr>
                <w:rFonts w:hint="default" w:ascii="宋体" w:hAnsi="宋体"/>
                <w:color w:val="000000" w:themeColor="text1"/>
                <w:szCs w:val="21"/>
                <w:lang w:val="en-US"/>
                <w14:textFill>
                  <w14:solidFill>
                    <w14:schemeClr w14:val="tx1"/>
                  </w14:solidFill>
                </w14:textFill>
              </w:rPr>
            </w:pPr>
            <w:r>
              <w:rPr>
                <w:rFonts w:hint="eastAsia" w:ascii="宋体" w:hAnsi="宋体"/>
                <w:color w:val="000000" w:themeColor="text1"/>
                <w:szCs w:val="21"/>
                <w14:textFill>
                  <w14:solidFill>
                    <w14:schemeClr w14:val="tx1"/>
                  </w14:solidFill>
                </w14:textFill>
              </w:rPr>
              <w:t>4、品质部，</w:t>
            </w:r>
            <w:r>
              <w:rPr>
                <w:rFonts w:hint="eastAsia" w:ascii="宋体" w:hAnsi="宋体"/>
                <w:color w:val="000000" w:themeColor="text1"/>
                <w:szCs w:val="21"/>
                <w:lang w:val="en-US" w:eastAsia="zh-CN"/>
                <w14:textFill>
                  <w14:solidFill>
                    <w14:schemeClr w14:val="tx1"/>
                  </w14:solidFill>
                </w14:textFill>
              </w:rPr>
              <w:t>塑料摆锤冲击试验机</w:t>
            </w:r>
            <w:r>
              <w:rPr>
                <w:rFonts w:hint="eastAsia" w:ascii="宋体" w:hAnsi="宋体"/>
                <w:color w:val="000000" w:themeColor="text1"/>
                <w:szCs w:val="21"/>
                <w14:textFill>
                  <w14:solidFill>
                    <w14:schemeClr w14:val="tx1"/>
                  </w14:solidFill>
                </w14:textFill>
              </w:rPr>
              <w:t>，编号JOY-0</w:t>
            </w:r>
            <w:r>
              <w:rPr>
                <w:rFonts w:hint="eastAsia" w:ascii="宋体" w:hAnsi="宋体"/>
                <w:color w:val="000000" w:themeColor="text1"/>
                <w:szCs w:val="21"/>
                <w:lang w:val="en-US" w:eastAsia="zh-CN"/>
                <w14:textFill>
                  <w14:solidFill>
                    <w14:schemeClr w14:val="tx1"/>
                  </w14:solidFill>
                </w14:textFill>
              </w:rPr>
              <w:t>22</w:t>
            </w:r>
            <w:r>
              <w:rPr>
                <w:rFonts w:hint="eastAsia" w:ascii="宋体" w:hAnsi="宋体"/>
                <w:color w:val="000000" w:themeColor="text1"/>
                <w:szCs w:val="21"/>
                <w14:textFill>
                  <w14:solidFill>
                    <w14:schemeClr w14:val="tx1"/>
                  </w14:solidFill>
                </w14:textFill>
              </w:rPr>
              <w:t>，校准证书编号：</w:t>
            </w:r>
            <w:r>
              <w:rPr>
                <w:rFonts w:hint="eastAsia" w:ascii="宋体" w:hAnsi="宋体"/>
                <w:color w:val="000000" w:themeColor="text1"/>
                <w:szCs w:val="21"/>
                <w:lang w:val="en-US" w:eastAsia="zh-CN"/>
                <w14:textFill>
                  <w14:solidFill>
                    <w14:schemeClr w14:val="tx1"/>
                  </w14:solidFill>
                </w14:textFill>
              </w:rPr>
              <w:t>22ZA000100004,校准日期：2022.1.4</w:t>
            </w:r>
          </w:p>
          <w:p>
            <w:pPr>
              <w:spacing w:line="240" w:lineRule="auto"/>
              <w:jc w:val="left"/>
              <w:rPr>
                <w:rFonts w:eastAsia="新宋体"/>
                <w:szCs w:val="21"/>
              </w:rPr>
            </w:pPr>
            <w:r>
              <w:rPr>
                <w:rFonts w:hint="eastAsia" w:ascii="宋体" w:hAnsi="宋体"/>
                <w:color w:val="000000" w:themeColor="text1"/>
                <w:szCs w:val="21"/>
                <w14:textFill>
                  <w14:solidFill>
                    <w14:schemeClr w14:val="tx1"/>
                  </w14:solidFill>
                </w14:textFill>
              </w:rPr>
              <w:t>5、生产部，</w:t>
            </w:r>
            <w:r>
              <w:rPr>
                <w:rFonts w:hint="eastAsia" w:ascii="宋体" w:hAnsi="宋体"/>
                <w:color w:val="000000" w:themeColor="text1"/>
                <w:szCs w:val="21"/>
                <w:lang w:val="en-US" w:eastAsia="zh-CN"/>
                <w14:textFill>
                  <w14:solidFill>
                    <w14:schemeClr w14:val="tx1"/>
                  </w14:solidFill>
                </w14:textFill>
              </w:rPr>
              <w:t>数显测厚仪</w:t>
            </w:r>
            <w:r>
              <w:rPr>
                <w:rFonts w:hint="eastAsia" w:ascii="宋体" w:hAnsi="宋体"/>
                <w:color w:val="000000" w:themeColor="text1"/>
                <w:szCs w:val="21"/>
                <w14:textFill>
                  <w14:solidFill>
                    <w14:schemeClr w14:val="tx1"/>
                  </w14:solidFill>
                </w14:textFill>
              </w:rPr>
              <w:t>，编号JOY-518，，校准证书编号：</w:t>
            </w:r>
            <w:r>
              <w:rPr>
                <w:rFonts w:hint="eastAsia" w:ascii="宋体" w:hAnsi="宋体"/>
                <w:color w:val="000000" w:themeColor="text1"/>
                <w:szCs w:val="21"/>
                <w:lang w:val="en-US" w:eastAsia="zh-CN"/>
                <w14:textFill>
                  <w14:solidFill>
                    <w14:schemeClr w14:val="tx1"/>
                  </w14:solidFill>
                </w14:textFill>
              </w:rPr>
              <w:t>122ZA004660029</w:t>
            </w:r>
            <w:r>
              <w:rPr>
                <w:rFonts w:hint="eastAsia" w:ascii="宋体" w:hAnsi="宋体"/>
                <w:color w:val="000000" w:themeColor="text1"/>
                <w:szCs w:val="21"/>
                <w14:textFill>
                  <w14:solidFill>
                    <w14:schemeClr w14:val="tx1"/>
                  </w14:solidFill>
                </w14:textFill>
              </w:rPr>
              <w:t>,校准日期：202</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29</w:t>
            </w:r>
            <w:r>
              <w:rPr>
                <w:rFonts w:hint="eastAsia" w:ascii="宋体" w:hAnsi="宋体"/>
                <w:color w:val="000000" w:themeColor="text1"/>
                <w:szCs w:val="21"/>
                <w14:textFill>
                  <w14:solidFill>
                    <w14:schemeClr w14:val="tx1"/>
                  </w14:solidFill>
                </w14:textFill>
              </w:rPr>
              <w:t>；</w:t>
            </w:r>
          </w:p>
          <w:p>
            <w:pPr>
              <w:spacing w:line="24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查：《测量设备台账》，共</w:t>
            </w:r>
            <w:r>
              <w:rPr>
                <w:rFonts w:hint="eastAsia" w:ascii="宋体" w:hAnsi="宋体"/>
                <w:color w:val="000000" w:themeColor="text1"/>
                <w:szCs w:val="21"/>
                <w:lang w:val="en-US" w:eastAsia="zh-CN"/>
                <w14:textFill>
                  <w14:solidFill>
                    <w14:schemeClr w14:val="tx1"/>
                  </w14:solidFill>
                </w14:textFill>
              </w:rPr>
              <w:t>210</w:t>
            </w:r>
            <w:r>
              <w:rPr>
                <w:rFonts w:hint="eastAsia" w:ascii="宋体" w:hAnsi="宋体"/>
                <w:color w:val="000000" w:themeColor="text1"/>
                <w:szCs w:val="21"/>
                <w14:textFill>
                  <w14:solidFill>
                    <w14:schemeClr w14:val="tx1"/>
                  </w14:solidFill>
                </w14:textFill>
              </w:rPr>
              <w:t>台件测量设备，其中A类</w:t>
            </w:r>
            <w:r>
              <w:rPr>
                <w:rFonts w:hint="eastAsia" w:ascii="宋体" w:hAnsi="宋体"/>
                <w:color w:val="000000" w:themeColor="text1"/>
                <w:szCs w:val="21"/>
                <w:lang w:val="en-US" w:eastAsia="zh-CN"/>
                <w14:textFill>
                  <w14:solidFill>
                    <w14:schemeClr w14:val="tx1"/>
                  </w14:solidFill>
                </w14:textFill>
              </w:rPr>
              <w:t>11</w:t>
            </w:r>
            <w:r>
              <w:rPr>
                <w:rFonts w:hint="eastAsia" w:ascii="宋体" w:hAnsi="宋体"/>
                <w:color w:val="000000" w:themeColor="text1"/>
                <w:szCs w:val="21"/>
                <w14:textFill>
                  <w14:solidFill>
                    <w14:schemeClr w14:val="tx1"/>
                  </w14:solidFill>
                </w14:textFill>
              </w:rPr>
              <w:t>件（压力表），</w:t>
            </w:r>
            <w:r>
              <w:rPr>
                <w:rFonts w:ascii="宋体" w:hAnsi="宋体"/>
                <w:color w:val="000000" w:themeColor="text1"/>
                <w:szCs w:val="21"/>
                <w14:textFill>
                  <w14:solidFill>
                    <w14:schemeClr w14:val="tx1"/>
                  </w14:solidFill>
                </w14:textFill>
              </w:rPr>
              <w:t>B</w:t>
            </w:r>
            <w:r>
              <w:rPr>
                <w:rFonts w:hint="eastAsia" w:ascii="宋体" w:hAnsi="宋体"/>
                <w:color w:val="000000" w:themeColor="text1"/>
                <w:szCs w:val="21"/>
                <w14:textFill>
                  <w14:solidFill>
                    <w14:schemeClr w14:val="tx1"/>
                  </w14:solidFill>
                </w14:textFill>
              </w:rPr>
              <w:t>类</w:t>
            </w:r>
            <w:r>
              <w:rPr>
                <w:rFonts w:hint="eastAsia" w:ascii="宋体" w:hAnsi="宋体"/>
                <w:color w:val="000000" w:themeColor="text1"/>
                <w:szCs w:val="21"/>
                <w:lang w:val="en-US" w:eastAsia="zh-CN"/>
                <w14:textFill>
                  <w14:solidFill>
                    <w14:schemeClr w14:val="tx1"/>
                  </w14:solidFill>
                </w14:textFill>
              </w:rPr>
              <w:t>119</w:t>
            </w:r>
            <w:r>
              <w:rPr>
                <w:rFonts w:hint="eastAsia" w:ascii="宋体" w:hAnsi="宋体"/>
                <w:color w:val="000000" w:themeColor="text1"/>
                <w:szCs w:val="21"/>
                <w14:textFill>
                  <w14:solidFill>
                    <w14:schemeClr w14:val="tx1"/>
                  </w14:solidFill>
                </w14:textFill>
              </w:rPr>
              <w:t>件（常用测量设备），C类8</w:t>
            </w:r>
            <w:r>
              <w:rPr>
                <w:rFonts w:hint="eastAsia" w:ascii="宋体" w:hAnsi="宋体"/>
                <w:color w:val="000000" w:themeColor="text1"/>
                <w:szCs w:val="21"/>
                <w:lang w:val="en-US" w:eastAsia="zh-CN"/>
                <w14:textFill>
                  <w14:solidFill>
                    <w14:schemeClr w14:val="tx1"/>
                  </w14:solidFill>
                </w14:textFill>
              </w:rPr>
              <w:t>0</w:t>
            </w:r>
            <w:r>
              <w:rPr>
                <w:rFonts w:hint="eastAsia" w:ascii="宋体" w:hAnsi="宋体"/>
                <w:color w:val="000000" w:themeColor="text1"/>
                <w:szCs w:val="21"/>
                <w14:textFill>
                  <w14:solidFill>
                    <w14:schemeClr w14:val="tx1"/>
                  </w14:solidFill>
                </w14:textFill>
              </w:rPr>
              <w:t>项（设备电能表和生产指示用真空表）</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公司厂房扩建，新增测量设备</w:t>
            </w:r>
            <w:r>
              <w:rPr>
                <w:rFonts w:hint="eastAsia" w:ascii="宋体" w:hAnsi="宋体"/>
                <w:color w:val="000000" w:themeColor="text1"/>
                <w:szCs w:val="21"/>
                <w14:textFill>
                  <w14:solidFill>
                    <w14:schemeClr w14:val="tx1"/>
                  </w14:solidFill>
                </w14:textFill>
              </w:rPr>
              <w:t>。A类提供检定证书； B类提供校准证书； 现场测量设备的有关信息和检定证书台账信息一致。符合标准要求。在用检测设备见</w:t>
            </w:r>
            <w:r>
              <w:rPr>
                <w:rFonts w:hint="eastAsia" w:ascii="宋体" w:hAnsi="宋体"/>
                <w:color w:val="000000" w:themeColor="text1"/>
                <w:szCs w:val="21"/>
                <w:lang w:val="en-US" w:eastAsia="zh-CN"/>
                <w14:textFill>
                  <w14:solidFill>
                    <w14:schemeClr w14:val="tx1"/>
                  </w14:solidFill>
                </w14:textFill>
              </w:rPr>
              <w:t>有</w:t>
            </w:r>
            <w:r>
              <w:rPr>
                <w:rFonts w:hint="eastAsia" w:ascii="宋体" w:hAnsi="宋体"/>
                <w:color w:val="000000" w:themeColor="text1"/>
                <w:szCs w:val="21"/>
                <w14:textFill>
                  <w14:solidFill>
                    <w14:schemeClr w14:val="tx1"/>
                  </w14:solidFill>
                </w14:textFill>
              </w:rPr>
              <w:t>计量确认绿色标签。</w:t>
            </w:r>
          </w:p>
          <w:p>
            <w:pPr>
              <w:spacing w:line="24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测量环境无恒温恒湿实验室要求，基本处于常温下测量。</w:t>
            </w:r>
          </w:p>
          <w:p>
            <w:pPr>
              <w:spacing w:line="24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提供的内部检测记录，所采用的计量结果可追溯到SI单位制。保持测量结果记录。</w:t>
            </w:r>
          </w:p>
        </w:tc>
        <w:tc>
          <w:tcPr>
            <w:tcW w:w="1289" w:type="dxa"/>
            <w:vAlign w:val="center"/>
          </w:tcPr>
          <w:p>
            <w:pPr>
              <w:spacing w:line="240" w:lineRule="auto"/>
              <w:jc w:val="center"/>
              <w:rPr>
                <w:rFonts w:ascii="宋体" w:hAnsi="宋体"/>
                <w:szCs w:val="21"/>
              </w:rPr>
            </w:pPr>
            <w:r>
              <w:rPr>
                <w:rFonts w:hint="eastAsia" w:eastAsia="新宋体"/>
                <w:szCs w:val="21"/>
              </w:rPr>
              <w:t>生产</w:t>
            </w:r>
            <w:r>
              <w:rPr>
                <w:rFonts w:hint="eastAsia" w:ascii="宋体" w:hAnsi="宋体"/>
                <w:szCs w:val="21"/>
              </w:rPr>
              <w:t>部</w:t>
            </w:r>
          </w:p>
          <w:p>
            <w:pPr>
              <w:spacing w:line="240" w:lineRule="auto"/>
              <w:jc w:val="center"/>
              <w:rPr>
                <w:rFonts w:ascii="宋体" w:hAnsi="宋体"/>
                <w:szCs w:val="21"/>
              </w:rPr>
            </w:pPr>
            <w:r>
              <w:rPr>
                <w:rFonts w:hint="eastAsia" w:ascii="宋体" w:hAnsi="宋体"/>
                <w:szCs w:val="21"/>
              </w:rPr>
              <w:t>生产车间</w:t>
            </w:r>
          </w:p>
          <w:p>
            <w:pPr>
              <w:spacing w:line="240" w:lineRule="auto"/>
              <w:jc w:val="center"/>
              <w:rPr>
                <w:rFonts w:eastAsia="新宋体"/>
                <w:szCs w:val="21"/>
              </w:rPr>
            </w:pPr>
            <w:r>
              <w:rPr>
                <w:rFonts w:hint="eastAsia" w:eastAsia="新宋体"/>
                <w:szCs w:val="21"/>
              </w:rPr>
              <w:t>品质部</w:t>
            </w:r>
          </w:p>
          <w:p>
            <w:pPr>
              <w:spacing w:line="240" w:lineRule="auto"/>
              <w:jc w:val="center"/>
              <w:rPr>
                <w:rFonts w:eastAsia="新宋体"/>
                <w:szCs w:val="21"/>
              </w:rPr>
            </w:pPr>
            <w:r>
              <w:rPr>
                <w:rFonts w:hint="eastAsia" w:eastAsia="新宋体"/>
                <w:szCs w:val="21"/>
              </w:rPr>
              <w:t xml:space="preserve"> </w:t>
            </w:r>
          </w:p>
          <w:p>
            <w:pPr>
              <w:spacing w:line="240" w:lineRule="auto"/>
              <w:jc w:val="center"/>
              <w:rPr>
                <w:rFonts w:ascii="宋体" w:hAnsi="宋体"/>
                <w:szCs w:val="21"/>
                <w:highlight w:val="red"/>
              </w:rPr>
            </w:pPr>
          </w:p>
        </w:tc>
        <w:tc>
          <w:tcPr>
            <w:tcW w:w="892" w:type="dxa"/>
            <w:vAlign w:val="center"/>
          </w:tcPr>
          <w:p>
            <w:pPr>
              <w:spacing w:line="240" w:lineRule="auto"/>
              <w:jc w:val="center"/>
              <w:rPr>
                <w:rFonts w:ascii="宋体" w:hAnsi="宋体"/>
                <w:szCs w:val="21"/>
                <w:highlight w:val="red"/>
              </w:rPr>
            </w:pPr>
          </w:p>
          <w:p>
            <w:pPr>
              <w:spacing w:line="240" w:lineRule="auto"/>
              <w:jc w:val="center"/>
              <w:rPr>
                <w:rFonts w:ascii="宋体" w:hAnsi="宋体"/>
                <w:szCs w:val="21"/>
                <w:highlight w:val="red"/>
              </w:rPr>
            </w:pPr>
          </w:p>
          <w:p>
            <w:pPr>
              <w:spacing w:line="240" w:lineRule="auto"/>
              <w:jc w:val="center"/>
              <w:rPr>
                <w:rFonts w:ascii="宋体" w:hAnsi="宋体"/>
                <w:szCs w:val="21"/>
                <w:highlight w:val="red"/>
              </w:rPr>
            </w:pPr>
          </w:p>
          <w:p>
            <w:pPr>
              <w:spacing w:line="240" w:lineRule="auto"/>
              <w:jc w:val="center"/>
              <w:rPr>
                <w:rFonts w:ascii="宋体" w:hAnsi="宋体"/>
                <w:szCs w:val="21"/>
                <w:highlight w:val="red"/>
              </w:rPr>
            </w:pPr>
          </w:p>
          <w:p>
            <w:pPr>
              <w:spacing w:line="240" w:lineRule="auto"/>
              <w:jc w:val="center"/>
              <w:rPr>
                <w:rFonts w:ascii="宋体" w:hAnsi="宋体"/>
                <w:szCs w:val="21"/>
                <w:highlight w:val="red"/>
              </w:rPr>
            </w:pPr>
          </w:p>
          <w:p>
            <w:pPr>
              <w:spacing w:line="240" w:lineRule="auto"/>
              <w:jc w:val="center"/>
              <w:rPr>
                <w:rFonts w:ascii="宋体" w:hAnsi="宋体"/>
                <w:szCs w:val="21"/>
                <w:highlight w:val="red"/>
              </w:rPr>
            </w:pPr>
          </w:p>
          <w:p>
            <w:pPr>
              <w:spacing w:line="240" w:lineRule="auto"/>
              <w:jc w:val="center"/>
              <w:rPr>
                <w:rFonts w:ascii="宋体" w:hAnsi="宋体"/>
                <w:szCs w:val="21"/>
                <w:highlight w:val="red"/>
              </w:rPr>
            </w:pPr>
          </w:p>
          <w:p>
            <w:pPr>
              <w:spacing w:line="240" w:lineRule="auto"/>
              <w:jc w:val="center"/>
              <w:rPr>
                <w:rFonts w:ascii="宋体" w:hAnsi="宋体"/>
                <w:szCs w:val="21"/>
                <w:highlight w:val="red"/>
              </w:rPr>
            </w:pPr>
          </w:p>
          <w:p>
            <w:pPr>
              <w:spacing w:line="240" w:lineRule="auto"/>
              <w:jc w:val="center"/>
              <w:rPr>
                <w:rFonts w:ascii="宋体" w:hAnsi="宋体"/>
                <w:szCs w:val="21"/>
                <w:highlight w:val="red"/>
              </w:rPr>
            </w:pPr>
          </w:p>
          <w:p>
            <w:pPr>
              <w:spacing w:line="240" w:lineRule="auto"/>
              <w:jc w:val="center"/>
              <w:rPr>
                <w:rFonts w:ascii="宋体" w:hAnsi="宋体"/>
                <w:szCs w:val="21"/>
                <w:highlight w:val="red"/>
              </w:rPr>
            </w:pPr>
          </w:p>
          <w:p>
            <w:pPr>
              <w:spacing w:line="240" w:lineRule="auto"/>
              <w:jc w:val="center"/>
              <w:rPr>
                <w:rFonts w:ascii="宋体" w:hAnsi="宋体"/>
                <w:szCs w:val="21"/>
                <w:highlight w:val="red"/>
              </w:rPr>
            </w:pPr>
          </w:p>
          <w:p>
            <w:pPr>
              <w:spacing w:line="240" w:lineRule="auto"/>
              <w:jc w:val="center"/>
              <w:rPr>
                <w:rFonts w:ascii="宋体" w:hAnsi="宋体"/>
                <w:szCs w:val="21"/>
                <w:highlight w:val="red"/>
              </w:rPr>
            </w:pPr>
          </w:p>
          <w:p>
            <w:pPr>
              <w:spacing w:line="240" w:lineRule="auto"/>
              <w:jc w:val="center"/>
              <w:rPr>
                <w:rFonts w:ascii="宋体" w:hAnsi="宋体"/>
                <w:szCs w:val="21"/>
              </w:rPr>
            </w:pPr>
            <w:r>
              <w:rPr>
                <w:rFonts w:hint="eastAsia" w:ascii="宋体" w:hAnsi="宋体"/>
                <w:szCs w:val="21"/>
              </w:rPr>
              <w:t>否</w:t>
            </w:r>
          </w:p>
          <w:p>
            <w:pPr>
              <w:spacing w:line="240" w:lineRule="auto"/>
              <w:jc w:val="center"/>
              <w:rPr>
                <w:rFonts w:ascii="宋体" w:hAnsi="宋体"/>
                <w:szCs w:val="21"/>
                <w:highlight w:val="red"/>
              </w:rPr>
            </w:pPr>
          </w:p>
          <w:p>
            <w:pPr>
              <w:spacing w:line="240" w:lineRule="auto"/>
              <w:jc w:val="center"/>
              <w:rPr>
                <w:rFonts w:ascii="宋体" w:hAnsi="宋体"/>
                <w:szCs w:val="21"/>
                <w:highlight w:val="red"/>
              </w:rPr>
            </w:pPr>
          </w:p>
          <w:p>
            <w:pPr>
              <w:spacing w:line="240" w:lineRule="auto"/>
              <w:jc w:val="center"/>
              <w:rPr>
                <w:rFonts w:ascii="宋体" w:hAnsi="宋体"/>
                <w:szCs w:val="21"/>
                <w:highlight w:val="red"/>
              </w:rPr>
            </w:pPr>
          </w:p>
          <w:p>
            <w:pPr>
              <w:spacing w:line="240" w:lineRule="auto"/>
              <w:jc w:val="center"/>
              <w:rPr>
                <w:rFonts w:ascii="宋体" w:hAnsi="宋体"/>
                <w:szCs w:val="21"/>
                <w:highlight w:val="red"/>
              </w:rPr>
            </w:pPr>
          </w:p>
          <w:p>
            <w:pPr>
              <w:spacing w:line="240" w:lineRule="auto"/>
              <w:jc w:val="center"/>
              <w:rPr>
                <w:rFonts w:ascii="宋体" w:hAnsi="宋体"/>
                <w:szCs w:val="21"/>
                <w:highlight w:val="red"/>
              </w:rPr>
            </w:pPr>
          </w:p>
          <w:p>
            <w:pPr>
              <w:spacing w:line="240" w:lineRule="auto"/>
              <w:jc w:val="center"/>
              <w:rPr>
                <w:rFonts w:ascii="宋体" w:hAnsi="宋体"/>
                <w:szCs w:val="21"/>
                <w:highlight w:val="red"/>
              </w:rPr>
            </w:pPr>
          </w:p>
          <w:p>
            <w:pPr>
              <w:spacing w:line="240" w:lineRule="auto"/>
              <w:jc w:val="center"/>
              <w:rPr>
                <w:rFonts w:ascii="宋体" w:hAnsi="宋体"/>
                <w:szCs w:val="21"/>
                <w:highlight w:val="red"/>
              </w:rPr>
            </w:pPr>
          </w:p>
          <w:p>
            <w:pPr>
              <w:spacing w:line="240" w:lineRule="auto"/>
              <w:jc w:val="center"/>
              <w:rPr>
                <w:rFonts w:ascii="宋体" w:hAnsi="宋体"/>
                <w:szCs w:val="21"/>
                <w:highlight w:val="red"/>
              </w:rPr>
            </w:pPr>
          </w:p>
          <w:p>
            <w:pPr>
              <w:spacing w:line="240" w:lineRule="auto"/>
              <w:jc w:val="center"/>
              <w:rPr>
                <w:rFonts w:ascii="宋体" w:hAnsi="宋体"/>
                <w:szCs w:val="21"/>
                <w:highlight w:val="red"/>
              </w:rPr>
            </w:pPr>
          </w:p>
          <w:p>
            <w:pPr>
              <w:spacing w:line="240" w:lineRule="auto"/>
              <w:jc w:val="center"/>
              <w:rPr>
                <w:rFonts w:ascii="宋体" w:hAnsi="宋体"/>
                <w:szCs w:val="21"/>
                <w:highlight w:val="red"/>
              </w:rPr>
            </w:pPr>
          </w:p>
          <w:p>
            <w:pPr>
              <w:spacing w:line="240" w:lineRule="auto"/>
              <w:jc w:val="center"/>
              <w:rPr>
                <w:rFonts w:ascii="宋体" w:hAnsi="宋体"/>
                <w:szCs w:val="21"/>
                <w:highlight w:val="red"/>
              </w:rPr>
            </w:pPr>
          </w:p>
          <w:p>
            <w:pPr>
              <w:spacing w:line="240" w:lineRule="auto"/>
              <w:jc w:val="center"/>
              <w:rPr>
                <w:rFonts w:ascii="宋体" w:hAnsi="宋体"/>
                <w:szCs w:val="21"/>
                <w:highlight w:val="red"/>
              </w:rPr>
            </w:pPr>
          </w:p>
          <w:p>
            <w:pPr>
              <w:spacing w:line="240" w:lineRule="auto"/>
              <w:jc w:val="center"/>
              <w:rPr>
                <w:rFonts w:ascii="宋体" w:hAnsi="宋体"/>
                <w:szCs w:val="21"/>
                <w:highlight w:val="red"/>
              </w:rPr>
            </w:pPr>
          </w:p>
          <w:p>
            <w:pPr>
              <w:spacing w:line="240" w:lineRule="auto"/>
              <w:rPr>
                <w:rFonts w:ascii="宋体" w:hAnsi="宋体"/>
                <w:szCs w:val="21"/>
                <w:highlight w:val="red"/>
              </w:rPr>
            </w:pPr>
          </w:p>
          <w:p>
            <w:pPr>
              <w:spacing w:line="240" w:lineRule="auto"/>
              <w:jc w:val="center"/>
              <w:rPr>
                <w:rFonts w:ascii="宋体" w:hAnsi="宋体"/>
                <w:szCs w:val="21"/>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1" w:type="dxa"/>
            <w:vAlign w:val="center"/>
          </w:tcPr>
          <w:p>
            <w:pPr>
              <w:spacing w:line="240" w:lineRule="auto"/>
              <w:rPr>
                <w:rFonts w:ascii="宋体" w:hAnsi="宋体"/>
                <w:szCs w:val="21"/>
              </w:rPr>
            </w:pPr>
            <w:r>
              <w:rPr>
                <w:rFonts w:hint="eastAsia" w:ascii="宋体" w:hAnsi="宋体"/>
                <w:szCs w:val="21"/>
              </w:rPr>
              <w:t>3</w:t>
            </w:r>
          </w:p>
        </w:tc>
        <w:tc>
          <w:tcPr>
            <w:tcW w:w="1925" w:type="dxa"/>
            <w:vAlign w:val="center"/>
          </w:tcPr>
          <w:p>
            <w:pPr>
              <w:spacing w:line="240" w:lineRule="auto"/>
              <w:rPr>
                <w:szCs w:val="21"/>
              </w:rPr>
            </w:pPr>
            <w:r>
              <w:rPr>
                <w:rFonts w:hint="eastAsia" w:ascii="宋体" w:hAnsi="宋体"/>
                <w:szCs w:val="21"/>
              </w:rPr>
              <w:t>企业对提供测量设备和辅助材料、消耗性材料和提供服务的外部供方如何识别、选择、评价和监视？</w:t>
            </w:r>
          </w:p>
        </w:tc>
        <w:tc>
          <w:tcPr>
            <w:tcW w:w="993" w:type="dxa"/>
            <w:vAlign w:val="center"/>
          </w:tcPr>
          <w:p>
            <w:pPr>
              <w:spacing w:line="240" w:lineRule="auto"/>
              <w:jc w:val="center"/>
              <w:rPr>
                <w:szCs w:val="21"/>
              </w:rPr>
            </w:pPr>
            <w:r>
              <w:rPr>
                <w:rFonts w:hint="eastAsia"/>
                <w:szCs w:val="21"/>
              </w:rPr>
              <w:t>6.4外部供方</w:t>
            </w:r>
          </w:p>
        </w:tc>
        <w:tc>
          <w:tcPr>
            <w:tcW w:w="4789" w:type="dxa"/>
            <w:vAlign w:val="center"/>
          </w:tcPr>
          <w:p>
            <w:pPr>
              <w:spacing w:line="240" w:lineRule="auto"/>
              <w:ind w:firstLine="420" w:firstLineChars="200"/>
              <w:rPr>
                <w:rFonts w:ascii="宋体" w:hAnsi="宋体"/>
                <w:szCs w:val="21"/>
              </w:rPr>
            </w:pPr>
            <w:r>
              <w:rPr>
                <w:rFonts w:hint="eastAsia" w:ascii="宋体" w:hAnsi="宋体"/>
                <w:szCs w:val="21"/>
              </w:rPr>
              <w:t>企业编制了Q/XY G07002-10-2019《外部供方控制程序》</w:t>
            </w:r>
            <w:r>
              <w:rPr>
                <w:rFonts w:hint="eastAsia" w:ascii="宋体" w:hAnsi="宋体"/>
                <w:szCs w:val="21"/>
                <w:lang w:val="en-US" w:eastAsia="zh-CN"/>
              </w:rPr>
              <w:t>,未变化，</w:t>
            </w:r>
            <w:r>
              <w:rPr>
                <w:rFonts w:hint="eastAsia" w:ascii="宋体" w:hAnsi="宋体"/>
                <w:szCs w:val="21"/>
              </w:rPr>
              <w:t>规定品质部和采购部，每年组织对外购测量设备的外部供方和测量设备检定/校准供方进行评价，确定合格供方并建立了合格供方档案。</w:t>
            </w:r>
          </w:p>
          <w:p>
            <w:pPr>
              <w:spacing w:line="240" w:lineRule="auto"/>
              <w:jc w:val="left"/>
              <w:rPr>
                <w:rFonts w:ascii="宋体" w:hAnsi="宋体"/>
                <w:szCs w:val="21"/>
              </w:rPr>
            </w:pPr>
            <w:r>
              <w:rPr>
                <w:rFonts w:hint="eastAsia" w:ascii="宋体" w:hAnsi="宋体" w:cs="Times New Roman"/>
                <w:szCs w:val="21"/>
                <w:lang w:val="en-US" w:eastAsia="zh-CN"/>
              </w:rPr>
              <w:t xml:space="preserve">    查目前提供校准/检定机构有2家，分别是</w:t>
            </w:r>
            <w:r>
              <w:rPr>
                <w:rFonts w:hint="eastAsia" w:ascii="宋体" w:hAnsi="宋体" w:cs="Times New Roman"/>
                <w:szCs w:val="21"/>
              </w:rPr>
              <w:t>慈溪市质量技术监督检验检测服务中心</w:t>
            </w:r>
            <w:r>
              <w:rPr>
                <w:rFonts w:hint="eastAsia" w:ascii="宋体" w:hAnsi="宋体" w:cs="Times New Roman"/>
                <w:szCs w:val="21"/>
                <w:lang w:val="en-US" w:eastAsia="zh-CN"/>
              </w:rPr>
              <w:t>和</w:t>
            </w:r>
            <w:r>
              <w:rPr>
                <w:rFonts w:hint="eastAsia" w:ascii="宋体" w:hAnsi="宋体" w:cs="Times New Roman"/>
                <w:szCs w:val="21"/>
              </w:rPr>
              <w:t>广东中准检测有限公司</w:t>
            </w:r>
            <w:r>
              <w:rPr>
                <w:rFonts w:hint="eastAsia" w:ascii="宋体" w:hAnsi="宋体" w:cs="Times New Roman"/>
                <w:szCs w:val="21"/>
                <w:lang w:eastAsia="zh-CN"/>
              </w:rPr>
              <w:t>。</w:t>
            </w:r>
            <w:r>
              <w:rPr>
                <w:rFonts w:hint="eastAsia" w:ascii="宋体" w:hAnsi="宋体" w:cs="Times New Roman"/>
                <w:szCs w:val="21"/>
                <w:lang w:val="en-US" w:eastAsia="zh-CN"/>
              </w:rPr>
              <w:t>查</w:t>
            </w:r>
            <w:r>
              <w:rPr>
                <w:rFonts w:hint="eastAsia" w:ascii="宋体" w:hAnsi="宋体" w:cs="Times New Roman"/>
                <w:szCs w:val="21"/>
              </w:rPr>
              <w:t>校准单位广东中准检测有限公司，提供了该单位的资质</w:t>
            </w:r>
            <w:r>
              <w:rPr>
                <w:rFonts w:hint="eastAsia" w:ascii="宋体" w:hAnsi="宋体" w:cs="Times New Roman"/>
                <w:szCs w:val="21"/>
                <w:lang w:val="en-US" w:eastAsia="zh-CN"/>
              </w:rPr>
              <w:t>材料（实验室认可证书注册号：</w:t>
            </w:r>
            <w:r>
              <w:rPr>
                <w:rFonts w:hint="eastAsia" w:ascii="宋体" w:hAnsi="宋体" w:cs="Times New Roman"/>
                <w:szCs w:val="21"/>
              </w:rPr>
              <w:t>CNAS L0239</w:t>
            </w:r>
            <w:r>
              <w:rPr>
                <w:rFonts w:hint="eastAsia" w:ascii="宋体" w:hAnsi="宋体" w:cs="Times New Roman"/>
                <w:szCs w:val="21"/>
                <w:lang w:eastAsia="zh-CN"/>
              </w:rPr>
              <w:t>，</w:t>
            </w:r>
            <w:r>
              <w:rPr>
                <w:rFonts w:hint="eastAsia" w:ascii="宋体" w:hAnsi="宋体" w:cs="Times New Roman"/>
                <w:szCs w:val="21"/>
                <w:lang w:val="en-US" w:eastAsia="zh-CN"/>
              </w:rPr>
              <w:t>有效期到2023-2-26</w:t>
            </w:r>
            <w:r>
              <w:rPr>
                <w:rFonts w:hint="eastAsia" w:ascii="宋体" w:hAnsi="宋体" w:cs="Times New Roman"/>
                <w:szCs w:val="21"/>
                <w:lang w:eastAsia="zh-CN"/>
              </w:rPr>
              <w:t>）</w:t>
            </w:r>
            <w:r>
              <w:rPr>
                <w:rFonts w:hint="eastAsia" w:ascii="宋体" w:hAnsi="宋体" w:cs="Times New Roman"/>
                <w:szCs w:val="21"/>
              </w:rPr>
              <w:t>、能力评价表等。</w:t>
            </w:r>
          </w:p>
        </w:tc>
        <w:tc>
          <w:tcPr>
            <w:tcW w:w="1289" w:type="dxa"/>
            <w:vAlign w:val="center"/>
          </w:tcPr>
          <w:p>
            <w:pPr>
              <w:spacing w:line="240" w:lineRule="auto"/>
              <w:rPr>
                <w:rFonts w:ascii="宋体" w:hAnsi="宋体"/>
                <w:szCs w:val="21"/>
              </w:rPr>
            </w:pPr>
          </w:p>
          <w:p>
            <w:pPr>
              <w:spacing w:line="240" w:lineRule="auto"/>
              <w:jc w:val="center"/>
              <w:rPr>
                <w:rFonts w:ascii="宋体" w:hAnsi="宋体"/>
                <w:szCs w:val="21"/>
              </w:rPr>
            </w:pPr>
            <w:r>
              <w:rPr>
                <w:rFonts w:hint="eastAsia" w:ascii="宋体" w:hAnsi="宋体"/>
                <w:szCs w:val="21"/>
              </w:rPr>
              <w:t>品质部</w:t>
            </w:r>
          </w:p>
          <w:p>
            <w:pPr>
              <w:spacing w:line="240" w:lineRule="auto"/>
              <w:jc w:val="center"/>
              <w:rPr>
                <w:rFonts w:ascii="宋体" w:hAnsi="宋体"/>
                <w:szCs w:val="21"/>
              </w:rPr>
            </w:pPr>
            <w:r>
              <w:rPr>
                <w:rFonts w:hint="eastAsia" w:ascii="宋体" w:hAnsi="宋体"/>
                <w:szCs w:val="21"/>
              </w:rPr>
              <w:t>采购部</w:t>
            </w:r>
          </w:p>
        </w:tc>
        <w:tc>
          <w:tcPr>
            <w:tcW w:w="892" w:type="dxa"/>
            <w:vAlign w:val="center"/>
          </w:tcPr>
          <w:p>
            <w:pPr>
              <w:spacing w:line="240" w:lineRule="auto"/>
              <w:ind w:firstLine="105" w:firstLineChars="5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1" w:type="dxa"/>
            <w:vAlign w:val="center"/>
          </w:tcPr>
          <w:p>
            <w:pPr>
              <w:spacing w:line="240" w:lineRule="auto"/>
              <w:rPr>
                <w:rFonts w:ascii="宋体" w:hAnsi="宋体"/>
                <w:szCs w:val="21"/>
              </w:rPr>
            </w:pPr>
            <w:r>
              <w:rPr>
                <w:rFonts w:hint="eastAsia" w:ascii="宋体" w:hAnsi="宋体"/>
                <w:szCs w:val="21"/>
              </w:rPr>
              <w:t>4</w:t>
            </w:r>
          </w:p>
        </w:tc>
        <w:tc>
          <w:tcPr>
            <w:tcW w:w="1925" w:type="dxa"/>
            <w:vAlign w:val="center"/>
          </w:tcPr>
          <w:p>
            <w:pPr>
              <w:spacing w:line="24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抽查(2-3) 台件关键测量过程测量要求识别是否正确？配备的测量设备是否经过检定/校准和验证，证方法是否正确？部门对验证不合格测量设备如何处理？</w:t>
            </w:r>
          </w:p>
        </w:tc>
        <w:tc>
          <w:tcPr>
            <w:tcW w:w="993" w:type="dxa"/>
            <w:vAlign w:val="center"/>
          </w:tcPr>
          <w:p>
            <w:pPr>
              <w:spacing w:line="240" w:lineRule="auto"/>
              <w:rPr>
                <w:rFonts w:ascii="宋体" w:hAnsi="宋体"/>
                <w:szCs w:val="21"/>
              </w:rPr>
            </w:pPr>
            <w:r>
              <w:rPr>
                <w:rFonts w:hint="eastAsia" w:ascii="宋体" w:hAnsi="宋体"/>
                <w:szCs w:val="21"/>
              </w:rPr>
              <w:t>7.1计量确认</w:t>
            </w:r>
          </w:p>
          <w:p>
            <w:pPr>
              <w:spacing w:line="240" w:lineRule="auto"/>
              <w:rPr>
                <w:rFonts w:ascii="宋体" w:hAnsi="宋体"/>
                <w:szCs w:val="21"/>
              </w:rPr>
            </w:pPr>
          </w:p>
        </w:tc>
        <w:tc>
          <w:tcPr>
            <w:tcW w:w="4789" w:type="dxa"/>
            <w:vAlign w:val="center"/>
          </w:tcPr>
          <w:p>
            <w:pPr>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查企业《测量设备台账》和《测量过程及控制一览表》，共识别</w:t>
            </w:r>
            <w:r>
              <w:rPr>
                <w:rFonts w:hint="eastAsia" w:ascii="宋体" w:hAnsi="宋体"/>
                <w:color w:val="000000" w:themeColor="text1"/>
                <w:szCs w:val="21"/>
                <w:lang w:val="en-US" w:eastAsia="zh-CN"/>
                <w14:textFill>
                  <w14:solidFill>
                    <w14:schemeClr w14:val="tx1"/>
                  </w14:solidFill>
                </w14:textFill>
              </w:rPr>
              <w:t>8</w:t>
            </w:r>
            <w:r>
              <w:rPr>
                <w:rFonts w:hint="eastAsia" w:ascii="宋体" w:hAnsi="宋体"/>
                <w:color w:val="000000" w:themeColor="text1"/>
                <w:szCs w:val="21"/>
                <w14:textFill>
                  <w14:solidFill>
                    <w14:schemeClr w14:val="tx1"/>
                  </w14:solidFill>
                </w14:textFill>
              </w:rPr>
              <w:t>个关键测量过程，验证方法正确。配备的测量设备都经过检定/校准。对校准后的设备进行内部确认，转化为计量确认表，并在适用的计量器具上贴计量确认标签。</w:t>
            </w:r>
            <w:bookmarkStart w:id="2" w:name="_GoBack"/>
            <w:bookmarkEnd w:id="2"/>
          </w:p>
        </w:tc>
        <w:tc>
          <w:tcPr>
            <w:tcW w:w="1289" w:type="dxa"/>
            <w:vAlign w:val="center"/>
          </w:tcPr>
          <w:p>
            <w:pPr>
              <w:spacing w:line="240" w:lineRule="auto"/>
              <w:jc w:val="center"/>
              <w:rPr>
                <w:rFonts w:ascii="宋体" w:hAnsi="宋体"/>
                <w:color w:val="000000" w:themeColor="text1"/>
                <w:szCs w:val="21"/>
                <w14:textFill>
                  <w14:solidFill>
                    <w14:schemeClr w14:val="tx1"/>
                  </w14:solidFill>
                </w14:textFill>
              </w:rPr>
            </w:pPr>
            <w:r>
              <w:rPr>
                <w:rFonts w:hint="eastAsia" w:ascii="宋体" w:hAnsi="宋体"/>
                <w:szCs w:val="21"/>
              </w:rPr>
              <w:t>品质部</w:t>
            </w:r>
          </w:p>
        </w:tc>
        <w:tc>
          <w:tcPr>
            <w:tcW w:w="892" w:type="dxa"/>
            <w:vAlign w:val="center"/>
          </w:tcPr>
          <w:p>
            <w:pPr>
              <w:spacing w:line="240" w:lineRule="auto"/>
              <w:ind w:firstLine="105" w:firstLineChars="5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1" w:type="dxa"/>
            <w:vAlign w:val="center"/>
          </w:tcPr>
          <w:p>
            <w:pPr>
              <w:spacing w:line="240" w:lineRule="auto"/>
              <w:rPr>
                <w:rFonts w:ascii="宋体" w:hAnsi="宋体"/>
                <w:szCs w:val="21"/>
              </w:rPr>
            </w:pPr>
            <w:r>
              <w:rPr>
                <w:rFonts w:hint="eastAsia" w:ascii="宋体" w:hAnsi="宋体"/>
                <w:szCs w:val="21"/>
              </w:rPr>
              <w:t>5</w:t>
            </w:r>
          </w:p>
        </w:tc>
        <w:tc>
          <w:tcPr>
            <w:tcW w:w="1925" w:type="dxa"/>
            <w:vAlign w:val="center"/>
          </w:tcPr>
          <w:p>
            <w:pPr>
              <w:spacing w:line="240" w:lineRule="auto"/>
              <w:rPr>
                <w:rFonts w:ascii="宋体" w:hAnsi="宋体"/>
                <w:szCs w:val="21"/>
              </w:rPr>
            </w:pPr>
            <w:r>
              <w:rPr>
                <w:rFonts w:hint="eastAsia" w:ascii="宋体" w:hAnsi="宋体"/>
                <w:szCs w:val="21"/>
              </w:rPr>
              <w:t>企业是否有新增关键测量过程?抽查(1-2)个新增关键测量过程或原有关键测量过程是否编制控制规范进行控制、有效性确认？</w:t>
            </w:r>
          </w:p>
        </w:tc>
        <w:tc>
          <w:tcPr>
            <w:tcW w:w="993" w:type="dxa"/>
            <w:vAlign w:val="center"/>
          </w:tcPr>
          <w:p>
            <w:pPr>
              <w:spacing w:line="240" w:lineRule="auto"/>
              <w:rPr>
                <w:rFonts w:ascii="宋体" w:hAnsi="宋体"/>
                <w:szCs w:val="21"/>
              </w:rPr>
            </w:pPr>
            <w:r>
              <w:rPr>
                <w:rFonts w:hint="eastAsia" w:ascii="宋体" w:hAnsi="宋体"/>
                <w:szCs w:val="21"/>
              </w:rPr>
              <w:t>7.2测量过程</w:t>
            </w:r>
          </w:p>
          <w:p>
            <w:pPr>
              <w:spacing w:line="240" w:lineRule="auto"/>
              <w:rPr>
                <w:rFonts w:ascii="宋体" w:hAnsi="宋体"/>
                <w:szCs w:val="21"/>
              </w:rPr>
            </w:pPr>
          </w:p>
        </w:tc>
        <w:tc>
          <w:tcPr>
            <w:tcW w:w="4789" w:type="dxa"/>
            <w:vAlign w:val="center"/>
          </w:tcPr>
          <w:p>
            <w:pPr>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企业无新增关键测量过程，查已识别的关键测量过程为</w:t>
            </w:r>
            <w:r>
              <w:rPr>
                <w:rFonts w:hint="eastAsia" w:ascii="宋体" w:hAnsi="宋体"/>
              </w:rPr>
              <w:t>周转箱重量测量</w:t>
            </w:r>
            <w:r>
              <w:rPr>
                <w:rFonts w:hint="eastAsia"/>
                <w:szCs w:val="21"/>
                <w:lang w:val="en-US" w:eastAsia="zh-CN"/>
              </w:rPr>
              <w:t>过程</w:t>
            </w:r>
            <w:r>
              <w:rPr>
                <w:rFonts w:hint="eastAsia" w:ascii="宋体" w:hAnsi="宋体"/>
                <w:color w:val="000000" w:themeColor="text1"/>
                <w:szCs w:val="21"/>
                <w14:textFill>
                  <w14:solidFill>
                    <w14:schemeClr w14:val="tx1"/>
                  </w14:solidFill>
                </w14:textFill>
              </w:rPr>
              <w:t>，按要求进行过程控制，绘制了控制图。控制图绘制方法正确。</w:t>
            </w:r>
          </w:p>
          <w:p>
            <w:pPr>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详见附件</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测量过程监视记录</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tc>
        <w:tc>
          <w:tcPr>
            <w:tcW w:w="1289" w:type="dxa"/>
            <w:vAlign w:val="center"/>
          </w:tcPr>
          <w:p>
            <w:pPr>
              <w:spacing w:line="240" w:lineRule="auto"/>
              <w:jc w:val="center"/>
              <w:rPr>
                <w:rFonts w:eastAsia="新宋体"/>
                <w:szCs w:val="21"/>
              </w:rPr>
            </w:pPr>
          </w:p>
          <w:p>
            <w:pPr>
              <w:spacing w:line="240" w:lineRule="auto"/>
              <w:jc w:val="center"/>
              <w:rPr>
                <w:rFonts w:eastAsia="新宋体"/>
                <w:szCs w:val="21"/>
              </w:rPr>
            </w:pPr>
          </w:p>
          <w:p>
            <w:pPr>
              <w:spacing w:line="240" w:lineRule="auto"/>
              <w:jc w:val="center"/>
              <w:rPr>
                <w:rFonts w:eastAsia="新宋体"/>
                <w:szCs w:val="21"/>
              </w:rPr>
            </w:pPr>
          </w:p>
          <w:p>
            <w:pPr>
              <w:spacing w:line="240" w:lineRule="auto"/>
              <w:jc w:val="center"/>
              <w:rPr>
                <w:rFonts w:eastAsia="新宋体"/>
                <w:szCs w:val="21"/>
              </w:rPr>
            </w:pPr>
            <w:r>
              <w:rPr>
                <w:rFonts w:hint="eastAsia" w:eastAsia="新宋体"/>
                <w:szCs w:val="21"/>
              </w:rPr>
              <w:t>品质部</w:t>
            </w:r>
          </w:p>
          <w:p>
            <w:pPr>
              <w:spacing w:line="240" w:lineRule="auto"/>
              <w:jc w:val="center"/>
              <w:rPr>
                <w:rFonts w:eastAsia="新宋体"/>
                <w:szCs w:val="21"/>
              </w:rPr>
            </w:pPr>
            <w:r>
              <w:rPr>
                <w:rFonts w:hint="eastAsia" w:eastAsia="新宋体"/>
                <w:szCs w:val="21"/>
              </w:rPr>
              <w:t>生产部</w:t>
            </w:r>
          </w:p>
          <w:p>
            <w:pPr>
              <w:spacing w:line="240" w:lineRule="auto"/>
              <w:jc w:val="center"/>
              <w:rPr>
                <w:rFonts w:eastAsia="新宋体"/>
                <w:szCs w:val="21"/>
              </w:rPr>
            </w:pPr>
          </w:p>
        </w:tc>
        <w:tc>
          <w:tcPr>
            <w:tcW w:w="892" w:type="dxa"/>
            <w:vAlign w:val="center"/>
          </w:tcPr>
          <w:p>
            <w:pPr>
              <w:spacing w:line="240" w:lineRule="auto"/>
              <w:ind w:firstLine="105" w:firstLineChars="50"/>
              <w:rPr>
                <w:rFonts w:ascii="宋体" w:hAnsi="宋体"/>
                <w:szCs w:val="21"/>
              </w:rPr>
            </w:pPr>
          </w:p>
          <w:p>
            <w:pPr>
              <w:spacing w:line="240" w:lineRule="auto"/>
              <w:ind w:firstLine="105" w:firstLineChars="50"/>
              <w:rPr>
                <w:rFonts w:ascii="宋体" w:hAnsi="宋体"/>
                <w:szCs w:val="21"/>
              </w:rPr>
            </w:pPr>
          </w:p>
          <w:p>
            <w:pPr>
              <w:spacing w:line="240" w:lineRule="auto"/>
              <w:ind w:firstLine="105" w:firstLineChars="50"/>
              <w:rPr>
                <w:rFonts w:ascii="宋体" w:hAnsi="宋体"/>
                <w:szCs w:val="21"/>
              </w:rPr>
            </w:pPr>
          </w:p>
          <w:p>
            <w:pPr>
              <w:spacing w:line="240" w:lineRule="auto"/>
              <w:ind w:firstLine="105" w:firstLineChars="5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1" w:type="dxa"/>
            <w:vAlign w:val="center"/>
          </w:tcPr>
          <w:p>
            <w:pPr>
              <w:spacing w:line="240" w:lineRule="auto"/>
              <w:rPr>
                <w:rFonts w:hint="eastAsia" w:ascii="宋体" w:hAnsi="宋体" w:eastAsia="宋体"/>
                <w:szCs w:val="21"/>
                <w:lang w:val="en-US" w:eastAsia="zh-CN"/>
              </w:rPr>
            </w:pPr>
            <w:r>
              <w:rPr>
                <w:rFonts w:hint="eastAsia" w:ascii="宋体" w:hAnsi="宋体"/>
                <w:szCs w:val="21"/>
                <w:lang w:val="en-US" w:eastAsia="zh-CN"/>
              </w:rPr>
              <w:t>6</w:t>
            </w:r>
          </w:p>
        </w:tc>
        <w:tc>
          <w:tcPr>
            <w:tcW w:w="1925" w:type="dxa"/>
            <w:vAlign w:val="top"/>
          </w:tcPr>
          <w:p>
            <w:pPr>
              <w:spacing w:line="240" w:lineRule="auto"/>
              <w:rPr>
                <w:rFonts w:hint="eastAsia" w:ascii="宋体" w:hAnsi="宋体"/>
                <w:szCs w:val="21"/>
              </w:rPr>
            </w:pPr>
          </w:p>
          <w:p>
            <w:pPr>
              <w:spacing w:line="240" w:lineRule="auto"/>
              <w:jc w:val="center"/>
              <w:rPr>
                <w:rFonts w:hint="eastAsia" w:ascii="宋体" w:hAnsi="宋体" w:eastAsia="宋体" w:cs="Times New Roman"/>
                <w:kern w:val="2"/>
                <w:sz w:val="21"/>
                <w:szCs w:val="21"/>
                <w:lang w:val="en-US" w:eastAsia="zh-CN" w:bidi="ar-SA"/>
              </w:rPr>
            </w:pPr>
            <w:r>
              <w:rPr>
                <w:rFonts w:hint="eastAsia" w:ascii="宋体" w:hAnsi="宋体"/>
                <w:szCs w:val="21"/>
              </w:rPr>
              <w:t>是否对关键过程进行了测量不确定度评定？</w:t>
            </w:r>
          </w:p>
        </w:tc>
        <w:tc>
          <w:tcPr>
            <w:tcW w:w="993" w:type="dxa"/>
            <w:vAlign w:val="center"/>
          </w:tcPr>
          <w:p>
            <w:pPr>
              <w:spacing w:line="240" w:lineRule="auto"/>
              <w:jc w:val="center"/>
              <w:rPr>
                <w:rFonts w:hint="eastAsia" w:ascii="宋体" w:hAnsi="宋体" w:eastAsia="宋体" w:cs="Times New Roman"/>
                <w:kern w:val="2"/>
                <w:sz w:val="21"/>
                <w:szCs w:val="21"/>
                <w:lang w:val="en-US" w:eastAsia="zh-CN" w:bidi="ar-SA"/>
              </w:rPr>
            </w:pPr>
            <w:r>
              <w:rPr>
                <w:rFonts w:hint="eastAsia" w:ascii="宋体" w:hAnsi="宋体"/>
                <w:szCs w:val="21"/>
              </w:rPr>
              <w:t>7.3测量不确定度</w:t>
            </w:r>
          </w:p>
        </w:tc>
        <w:tc>
          <w:tcPr>
            <w:tcW w:w="4789" w:type="dxa"/>
            <w:vAlign w:val="top"/>
          </w:tcPr>
          <w:p>
            <w:pPr>
              <w:spacing w:line="240" w:lineRule="auto"/>
              <w:ind w:firstLine="420" w:firstLineChars="200"/>
              <w:rPr>
                <w:rFonts w:hint="eastAsia" w:ascii="Times New Roman" w:hAnsi="Times New Roman" w:eastAsia="宋体" w:cs="Times New Roman"/>
                <w:kern w:val="2"/>
                <w:sz w:val="21"/>
                <w:szCs w:val="21"/>
                <w:lang w:val="en-US" w:eastAsia="zh-CN" w:bidi="ar-SA"/>
              </w:rPr>
            </w:pPr>
            <w:r>
              <w:rPr>
                <w:rFonts w:hint="eastAsia"/>
                <w:szCs w:val="21"/>
              </w:rPr>
              <w:t>抽查了关键测量过程</w:t>
            </w:r>
            <w:r>
              <w:rPr>
                <w:rFonts w:hint="eastAsia"/>
                <w:szCs w:val="21"/>
                <w:lang w:eastAsia="zh-CN"/>
              </w:rPr>
              <w:t>：</w:t>
            </w:r>
            <w:r>
              <w:rPr>
                <w:rFonts w:hint="eastAsia" w:ascii="宋体" w:hAnsi="宋体"/>
              </w:rPr>
              <w:t>周转箱重量测量</w:t>
            </w:r>
            <w:r>
              <w:rPr>
                <w:rFonts w:hint="eastAsia"/>
                <w:szCs w:val="21"/>
                <w:lang w:val="en-US" w:eastAsia="zh-CN"/>
              </w:rPr>
              <w:t>过程的</w:t>
            </w:r>
            <w:r>
              <w:rPr>
                <w:rFonts w:hint="eastAsia"/>
                <w:szCs w:val="21"/>
              </w:rPr>
              <w:t>不确定度评定方法</w:t>
            </w:r>
            <w:r>
              <w:rPr>
                <w:rFonts w:hint="eastAsia"/>
                <w:szCs w:val="21"/>
                <w:lang w:eastAsia="zh-CN"/>
              </w:rPr>
              <w:t>，</w:t>
            </w:r>
            <w:r>
              <w:rPr>
                <w:rFonts w:hint="eastAsia"/>
                <w:szCs w:val="21"/>
              </w:rPr>
              <w:t>见附</w:t>
            </w:r>
            <w:r>
              <w:rPr>
                <w:rFonts w:hint="eastAsia"/>
                <w:szCs w:val="21"/>
                <w:lang w:val="en-US" w:eastAsia="zh-CN"/>
              </w:rPr>
              <w:t>件1</w:t>
            </w:r>
            <w:r>
              <w:rPr>
                <w:rFonts w:hint="eastAsia"/>
                <w:szCs w:val="21"/>
              </w:rPr>
              <w:t>《周转箱重量测量不确定度评定》。评定方法正确。</w:t>
            </w:r>
          </w:p>
        </w:tc>
        <w:tc>
          <w:tcPr>
            <w:tcW w:w="1289" w:type="dxa"/>
            <w:vAlign w:val="center"/>
          </w:tcPr>
          <w:p>
            <w:pPr>
              <w:spacing w:line="240" w:lineRule="auto"/>
              <w:jc w:val="center"/>
              <w:rPr>
                <w:rFonts w:hint="eastAsia" w:ascii="宋体" w:hAnsi="宋体" w:eastAsia="宋体" w:cs="Times New Roman"/>
                <w:color w:val="FF0000"/>
                <w:kern w:val="2"/>
                <w:sz w:val="21"/>
                <w:szCs w:val="21"/>
                <w:lang w:val="en-US" w:eastAsia="zh-CN" w:bidi="ar-SA"/>
              </w:rPr>
            </w:pPr>
          </w:p>
        </w:tc>
        <w:tc>
          <w:tcPr>
            <w:tcW w:w="892" w:type="dxa"/>
            <w:vAlign w:val="center"/>
          </w:tcPr>
          <w:p>
            <w:pPr>
              <w:spacing w:line="240" w:lineRule="auto"/>
              <w:ind w:firstLine="105" w:firstLineChars="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1" w:type="dxa"/>
            <w:vAlign w:val="center"/>
          </w:tcPr>
          <w:p>
            <w:pPr>
              <w:spacing w:line="240" w:lineRule="auto"/>
              <w:rPr>
                <w:rFonts w:hint="eastAsia" w:ascii="宋体" w:hAnsi="宋体" w:eastAsia="宋体"/>
                <w:szCs w:val="21"/>
                <w:lang w:eastAsia="zh-CN"/>
              </w:rPr>
            </w:pPr>
            <w:r>
              <w:rPr>
                <w:rFonts w:hint="eastAsia" w:ascii="宋体" w:hAnsi="宋体"/>
                <w:szCs w:val="21"/>
                <w:lang w:val="en-US" w:eastAsia="zh-CN"/>
              </w:rPr>
              <w:t>7</w:t>
            </w:r>
          </w:p>
        </w:tc>
        <w:tc>
          <w:tcPr>
            <w:tcW w:w="1925" w:type="dxa"/>
          </w:tcPr>
          <w:p>
            <w:pPr>
              <w:spacing w:line="240" w:lineRule="auto"/>
              <w:rPr>
                <w:rFonts w:ascii="宋体" w:hAnsi="宋体"/>
                <w:szCs w:val="21"/>
              </w:rPr>
            </w:pPr>
            <w:r>
              <w:rPr>
                <w:rFonts w:hint="eastAsia" w:ascii="宋体" w:hAnsi="宋体" w:cs="宋体"/>
                <w:bCs/>
                <w:szCs w:val="21"/>
              </w:rPr>
              <w:t>企业如何进行顾客满意调查？</w:t>
            </w:r>
          </w:p>
        </w:tc>
        <w:tc>
          <w:tcPr>
            <w:tcW w:w="993" w:type="dxa"/>
            <w:vAlign w:val="center"/>
          </w:tcPr>
          <w:p>
            <w:pPr>
              <w:spacing w:line="240" w:lineRule="auto"/>
              <w:rPr>
                <w:rFonts w:ascii="宋体" w:hAnsi="宋体"/>
                <w:szCs w:val="21"/>
              </w:rPr>
            </w:pPr>
            <w:r>
              <w:rPr>
                <w:rFonts w:hint="eastAsia"/>
                <w:szCs w:val="21"/>
              </w:rPr>
              <w:t>8.2.2</w:t>
            </w:r>
            <w:r>
              <w:rPr>
                <w:rFonts w:hint="eastAsia" w:ascii="宋体" w:hAnsi="宋体"/>
                <w:szCs w:val="21"/>
              </w:rPr>
              <w:t>顾客满意度</w:t>
            </w:r>
          </w:p>
        </w:tc>
        <w:tc>
          <w:tcPr>
            <w:tcW w:w="4789" w:type="dxa"/>
          </w:tcPr>
          <w:p>
            <w:pPr>
              <w:spacing w:line="240" w:lineRule="auto"/>
              <w:ind w:firstLine="420" w:firstLineChars="200"/>
              <w:rPr>
                <w:rFonts w:ascii="宋体" w:hAnsi="宋体"/>
                <w:color w:val="000000"/>
                <w:szCs w:val="21"/>
              </w:rPr>
            </w:pPr>
            <w:r>
              <w:rPr>
                <w:rFonts w:hint="eastAsia" w:ascii="宋体" w:hAnsi="宋体"/>
                <w:szCs w:val="21"/>
              </w:rPr>
              <w:t>公司编制了《顾客满意</w:t>
            </w:r>
            <w:r>
              <w:rPr>
                <w:rFonts w:hint="eastAsia" w:ascii="宋体" w:hAnsi="宋体"/>
                <w:color w:val="000000"/>
                <w:szCs w:val="21"/>
              </w:rPr>
              <w:t>度监视和分析管理程序》，品质部和销售部采取发放《顾客满意度调查表》的方式对内部和外部顾客进行满意度调查，</w:t>
            </w:r>
          </w:p>
          <w:p>
            <w:pPr>
              <w:spacing w:line="240" w:lineRule="auto"/>
              <w:ind w:firstLine="420" w:firstLineChars="200"/>
              <w:rPr>
                <w:rFonts w:ascii="宋体" w:hAnsi="宋体"/>
                <w:color w:val="000000"/>
                <w:szCs w:val="21"/>
              </w:rPr>
            </w:pPr>
            <w:r>
              <w:rPr>
                <w:rFonts w:hint="eastAsia" w:ascii="宋体" w:hAnsi="宋体"/>
                <w:color w:val="000000"/>
                <w:szCs w:val="21"/>
              </w:rPr>
              <w:t>查：202</w:t>
            </w:r>
            <w:r>
              <w:rPr>
                <w:rFonts w:hint="eastAsia" w:ascii="宋体" w:hAnsi="宋体"/>
                <w:color w:val="000000"/>
                <w:szCs w:val="21"/>
                <w:lang w:val="en-US" w:eastAsia="zh-CN"/>
              </w:rPr>
              <w:t>2</w:t>
            </w:r>
            <w:r>
              <w:rPr>
                <w:rFonts w:hint="eastAsia" w:ascii="宋体" w:hAnsi="宋体"/>
                <w:color w:val="000000"/>
                <w:szCs w:val="21"/>
              </w:rPr>
              <w:t>年</w:t>
            </w:r>
            <w:r>
              <w:rPr>
                <w:rFonts w:hint="eastAsia" w:ascii="宋体" w:hAnsi="宋体" w:cs="宋体"/>
                <w:szCs w:val="21"/>
              </w:rPr>
              <w:t>品质部对内部顾客进行了满意度调查，</w:t>
            </w:r>
            <w:r>
              <w:rPr>
                <w:rFonts w:hint="eastAsia" w:ascii="宋体" w:hAnsi="宋体"/>
                <w:color w:val="000000"/>
                <w:szCs w:val="21"/>
              </w:rPr>
              <w:t>发放6份《内部顾客满意度调查表》，</w:t>
            </w:r>
            <w:r>
              <w:rPr>
                <w:rFonts w:hint="eastAsia" w:ascii="宋体" w:hAnsi="宋体" w:cs="宋体"/>
                <w:szCs w:val="21"/>
              </w:rPr>
              <w:t>目标为9</w:t>
            </w:r>
            <w:r>
              <w:rPr>
                <w:rFonts w:ascii="宋体" w:hAnsi="宋体" w:cs="宋体"/>
                <w:szCs w:val="21"/>
              </w:rPr>
              <w:t>5%</w:t>
            </w:r>
            <w:r>
              <w:rPr>
                <w:rFonts w:hint="eastAsia" w:ascii="宋体" w:hAnsi="宋体" w:cs="宋体"/>
                <w:szCs w:val="21"/>
              </w:rPr>
              <w:t>，实际</w:t>
            </w:r>
            <w:r>
              <w:rPr>
                <w:rFonts w:hint="eastAsia" w:ascii="宋体" w:hAnsi="宋体"/>
                <w:color w:val="000000"/>
                <w:szCs w:val="21"/>
              </w:rPr>
              <w:t>满意度为</w:t>
            </w:r>
            <w:r>
              <w:rPr>
                <w:rFonts w:ascii="宋体" w:hAnsi="宋体"/>
                <w:color w:val="000000"/>
                <w:szCs w:val="21"/>
              </w:rPr>
              <w:t>9</w:t>
            </w:r>
            <w:r>
              <w:rPr>
                <w:rFonts w:hint="eastAsia" w:ascii="宋体" w:hAnsi="宋体"/>
                <w:color w:val="000000"/>
                <w:szCs w:val="21"/>
                <w:lang w:val="en-US" w:eastAsia="zh-CN"/>
              </w:rPr>
              <w:t>8</w:t>
            </w:r>
            <w:r>
              <w:rPr>
                <w:rFonts w:ascii="宋体" w:hAnsi="宋体"/>
                <w:color w:val="000000"/>
                <w:szCs w:val="21"/>
              </w:rPr>
              <w:t>.</w:t>
            </w:r>
            <w:r>
              <w:rPr>
                <w:rFonts w:hint="eastAsia" w:ascii="宋体" w:hAnsi="宋体"/>
                <w:color w:val="000000"/>
                <w:szCs w:val="21"/>
                <w:lang w:val="en-US" w:eastAsia="zh-CN"/>
              </w:rPr>
              <w:t>3</w:t>
            </w:r>
            <w:r>
              <w:rPr>
                <w:rFonts w:hint="eastAsia" w:ascii="宋体" w:hAnsi="宋体"/>
                <w:color w:val="000000"/>
                <w:szCs w:val="21"/>
              </w:rPr>
              <w:t>%，</w:t>
            </w:r>
            <w:r>
              <w:rPr>
                <w:rFonts w:hint="eastAsia" w:eastAsia="新宋体"/>
                <w:szCs w:val="21"/>
              </w:rPr>
              <w:t>销售部</w:t>
            </w:r>
            <w:r>
              <w:rPr>
                <w:rFonts w:hint="eastAsia" w:ascii="宋体" w:hAnsi="宋体"/>
                <w:color w:val="000000"/>
                <w:szCs w:val="21"/>
              </w:rPr>
              <w:t>《外部顾客满意度调查表》3</w:t>
            </w:r>
            <w:r>
              <w:rPr>
                <w:rFonts w:ascii="宋体" w:hAnsi="宋体"/>
                <w:color w:val="000000"/>
                <w:szCs w:val="21"/>
              </w:rPr>
              <w:t>2</w:t>
            </w:r>
            <w:r>
              <w:rPr>
                <w:rFonts w:hint="eastAsia" w:ascii="宋体" w:hAnsi="宋体"/>
                <w:color w:val="000000"/>
                <w:szCs w:val="21"/>
              </w:rPr>
              <w:t>份，目标8</w:t>
            </w:r>
            <w:r>
              <w:rPr>
                <w:rFonts w:ascii="宋体" w:hAnsi="宋体"/>
                <w:color w:val="000000"/>
                <w:szCs w:val="21"/>
              </w:rPr>
              <w:t>5%</w:t>
            </w:r>
            <w:r>
              <w:rPr>
                <w:rFonts w:hint="eastAsia" w:ascii="宋体" w:hAnsi="宋体"/>
                <w:color w:val="000000"/>
                <w:szCs w:val="21"/>
              </w:rPr>
              <w:t>，实际满意度为</w:t>
            </w:r>
            <w:r>
              <w:rPr>
                <w:rFonts w:ascii="宋体" w:hAnsi="宋体"/>
                <w:color w:val="000000"/>
                <w:szCs w:val="21"/>
              </w:rPr>
              <w:t>9</w:t>
            </w:r>
            <w:r>
              <w:rPr>
                <w:rFonts w:hint="eastAsia" w:ascii="宋体" w:hAnsi="宋体"/>
                <w:color w:val="000000"/>
                <w:szCs w:val="21"/>
                <w:lang w:val="en-US" w:eastAsia="zh-CN"/>
              </w:rPr>
              <w:t>5</w:t>
            </w:r>
            <w:r>
              <w:rPr>
                <w:rFonts w:hint="eastAsia" w:ascii="宋体" w:hAnsi="宋体"/>
                <w:color w:val="000000"/>
                <w:szCs w:val="21"/>
              </w:rPr>
              <w:t>%，满足要求。</w:t>
            </w:r>
          </w:p>
        </w:tc>
        <w:tc>
          <w:tcPr>
            <w:tcW w:w="1289" w:type="dxa"/>
            <w:vAlign w:val="center"/>
          </w:tcPr>
          <w:p>
            <w:pPr>
              <w:spacing w:line="240" w:lineRule="auto"/>
              <w:jc w:val="center"/>
              <w:rPr>
                <w:rFonts w:eastAsia="新宋体"/>
                <w:szCs w:val="21"/>
              </w:rPr>
            </w:pPr>
            <w:r>
              <w:rPr>
                <w:rFonts w:hint="eastAsia" w:eastAsia="新宋体"/>
                <w:szCs w:val="21"/>
              </w:rPr>
              <w:t>品质部</w:t>
            </w:r>
          </w:p>
          <w:p>
            <w:pPr>
              <w:spacing w:line="240" w:lineRule="auto"/>
              <w:jc w:val="center"/>
              <w:rPr>
                <w:rFonts w:eastAsia="新宋体"/>
                <w:szCs w:val="21"/>
              </w:rPr>
            </w:pPr>
            <w:r>
              <w:rPr>
                <w:rFonts w:hint="eastAsia" w:eastAsia="新宋体"/>
                <w:szCs w:val="21"/>
              </w:rPr>
              <w:t>销售部</w:t>
            </w:r>
          </w:p>
        </w:tc>
        <w:tc>
          <w:tcPr>
            <w:tcW w:w="892" w:type="dxa"/>
            <w:vAlign w:val="center"/>
          </w:tcPr>
          <w:p>
            <w:pPr>
              <w:spacing w:line="240" w:lineRule="auto"/>
              <w:ind w:firstLine="105" w:firstLineChars="5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51" w:type="dxa"/>
            <w:vAlign w:val="center"/>
          </w:tcPr>
          <w:p>
            <w:pPr>
              <w:spacing w:line="240" w:lineRule="auto"/>
              <w:rPr>
                <w:rFonts w:hint="eastAsia" w:ascii="宋体" w:hAnsi="宋体" w:eastAsia="宋体"/>
                <w:szCs w:val="21"/>
                <w:lang w:eastAsia="zh-CN"/>
              </w:rPr>
            </w:pPr>
            <w:r>
              <w:rPr>
                <w:rFonts w:hint="eastAsia" w:ascii="宋体" w:hAnsi="宋体"/>
                <w:szCs w:val="21"/>
                <w:lang w:val="en-US" w:eastAsia="zh-CN"/>
              </w:rPr>
              <w:t>8</w:t>
            </w:r>
          </w:p>
        </w:tc>
        <w:tc>
          <w:tcPr>
            <w:tcW w:w="1925" w:type="dxa"/>
            <w:vAlign w:val="center"/>
          </w:tcPr>
          <w:p>
            <w:pPr>
              <w:spacing w:line="240" w:lineRule="auto"/>
              <w:rPr>
                <w:rFonts w:ascii="宋体" w:hAnsi="宋体"/>
                <w:szCs w:val="21"/>
              </w:rPr>
            </w:pPr>
            <w:r>
              <w:rPr>
                <w:rFonts w:hint="eastAsia" w:ascii="宋体" w:hAnsi="宋体"/>
                <w:szCs w:val="21"/>
              </w:rPr>
              <w:t>企业是否对计量确认过程和测量过程按照计划频次进行持续监视？</w:t>
            </w:r>
          </w:p>
        </w:tc>
        <w:tc>
          <w:tcPr>
            <w:tcW w:w="993" w:type="dxa"/>
            <w:vAlign w:val="center"/>
          </w:tcPr>
          <w:p>
            <w:pPr>
              <w:spacing w:line="240" w:lineRule="auto"/>
              <w:rPr>
                <w:rFonts w:ascii="宋体" w:hAnsi="宋体"/>
                <w:szCs w:val="21"/>
              </w:rPr>
            </w:pPr>
            <w:r>
              <w:rPr>
                <w:rFonts w:hint="eastAsia" w:ascii="宋体" w:hAnsi="宋体"/>
                <w:szCs w:val="21"/>
              </w:rPr>
              <w:t>8.2.4测量管理体系的监视</w:t>
            </w:r>
          </w:p>
        </w:tc>
        <w:tc>
          <w:tcPr>
            <w:tcW w:w="4789" w:type="dxa"/>
            <w:vAlign w:val="center"/>
          </w:tcPr>
          <w:p>
            <w:pPr>
              <w:spacing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企业制定了 Q/XY G07002-10-2019《审核和监视控制程序》，对列入体系管理的测量过程，测量设备、计量确认过程按照 《审核和监视控制程序》规定的频次，进行持续监视统计记录。抽查一个高控的重要测量过程---周转箱重量测量</w:t>
            </w:r>
            <w:r>
              <w:rPr>
                <w:rFonts w:hint="eastAsia" w:ascii="宋体" w:hAnsi="宋体"/>
                <w:color w:val="000000" w:themeColor="text1"/>
                <w:szCs w:val="21"/>
                <w:lang w:val="en-US" w:eastAsia="zh-CN"/>
                <w14:textFill>
                  <w14:solidFill>
                    <w14:schemeClr w14:val="tx1"/>
                  </w14:solidFill>
                </w14:textFill>
              </w:rPr>
              <w:t>过程</w:t>
            </w:r>
            <w:r>
              <w:rPr>
                <w:rFonts w:hint="eastAsia" w:ascii="宋体" w:hAnsi="宋体"/>
                <w:color w:val="000000" w:themeColor="text1"/>
                <w:szCs w:val="21"/>
                <w14:textFill>
                  <w14:solidFill>
                    <w14:schemeClr w14:val="tx1"/>
                  </w14:solidFill>
                </w14:textFill>
              </w:rPr>
              <w:t>，规定了测量人员、测量方法、测量设备的控制要求，满足测量要求。</w:t>
            </w:r>
          </w:p>
          <w:p>
            <w:pPr>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质检部</w:t>
            </w:r>
            <w:r>
              <w:rPr>
                <w:rFonts w:hint="eastAsia" w:ascii="宋体" w:hAnsi="宋体"/>
                <w:color w:val="000000" w:themeColor="text1"/>
                <w:szCs w:val="21"/>
                <w14:textFill>
                  <w14:solidFill>
                    <w14:schemeClr w14:val="tx1"/>
                  </w14:solidFill>
                </w14:textFill>
              </w:rPr>
              <w:t>负责关键测量过程和计量确认过程的监视。</w:t>
            </w:r>
          </w:p>
        </w:tc>
        <w:tc>
          <w:tcPr>
            <w:tcW w:w="1289" w:type="dxa"/>
            <w:vAlign w:val="center"/>
          </w:tcPr>
          <w:p>
            <w:pPr>
              <w:spacing w:line="240" w:lineRule="auto"/>
              <w:jc w:val="center"/>
              <w:rPr>
                <w:rFonts w:eastAsia="新宋体"/>
                <w:szCs w:val="21"/>
              </w:rPr>
            </w:pPr>
          </w:p>
          <w:p>
            <w:pPr>
              <w:spacing w:line="240" w:lineRule="auto"/>
              <w:jc w:val="center"/>
              <w:rPr>
                <w:rFonts w:ascii="宋体" w:hAnsi="宋体"/>
                <w:szCs w:val="21"/>
              </w:rPr>
            </w:pPr>
            <w:r>
              <w:rPr>
                <w:rFonts w:hint="eastAsia" w:eastAsia="新宋体"/>
                <w:szCs w:val="21"/>
              </w:rPr>
              <w:t>生产</w:t>
            </w:r>
            <w:r>
              <w:rPr>
                <w:rFonts w:hint="eastAsia" w:ascii="宋体" w:hAnsi="宋体"/>
                <w:szCs w:val="21"/>
              </w:rPr>
              <w:t>部</w:t>
            </w:r>
          </w:p>
          <w:p>
            <w:pPr>
              <w:spacing w:line="240" w:lineRule="auto"/>
              <w:ind w:firstLine="210" w:firstLineChars="100"/>
              <w:rPr>
                <w:rFonts w:ascii="宋体" w:hAnsi="宋体"/>
                <w:szCs w:val="21"/>
              </w:rPr>
            </w:pPr>
            <w:r>
              <w:rPr>
                <w:rFonts w:hint="eastAsia" w:ascii="宋体" w:hAnsi="宋体" w:cs="宋体"/>
                <w:szCs w:val="21"/>
              </w:rPr>
              <w:t>品质部</w:t>
            </w:r>
          </w:p>
        </w:tc>
        <w:tc>
          <w:tcPr>
            <w:tcW w:w="892" w:type="dxa"/>
            <w:vAlign w:val="center"/>
          </w:tcPr>
          <w:p>
            <w:pPr>
              <w:spacing w:line="240" w:lineRule="auto"/>
              <w:ind w:firstLine="105" w:firstLineChars="5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1" w:type="dxa"/>
            <w:vAlign w:val="center"/>
          </w:tcPr>
          <w:p>
            <w:pPr>
              <w:spacing w:line="240" w:lineRule="auto"/>
              <w:rPr>
                <w:rFonts w:hint="eastAsia" w:ascii="宋体" w:hAnsi="宋体" w:eastAsia="宋体"/>
                <w:szCs w:val="21"/>
                <w:lang w:eastAsia="zh-CN"/>
              </w:rPr>
            </w:pPr>
            <w:r>
              <w:rPr>
                <w:rFonts w:hint="eastAsia" w:ascii="宋体" w:hAnsi="宋体"/>
                <w:szCs w:val="21"/>
                <w:lang w:val="en-US" w:eastAsia="zh-CN"/>
              </w:rPr>
              <w:t>9</w:t>
            </w:r>
          </w:p>
        </w:tc>
        <w:tc>
          <w:tcPr>
            <w:tcW w:w="1925" w:type="dxa"/>
            <w:vAlign w:val="center"/>
          </w:tcPr>
          <w:p>
            <w:pPr>
              <w:spacing w:line="240" w:lineRule="auto"/>
              <w:rPr>
                <w:rFonts w:ascii="宋体" w:hAnsi="宋体"/>
                <w:szCs w:val="21"/>
              </w:rPr>
            </w:pPr>
            <w:r>
              <w:rPr>
                <w:rFonts w:hint="eastAsia" w:ascii="宋体" w:hAnsi="宋体"/>
                <w:szCs w:val="21"/>
              </w:rPr>
              <w:t>强制检定</w:t>
            </w:r>
          </w:p>
        </w:tc>
        <w:tc>
          <w:tcPr>
            <w:tcW w:w="993" w:type="dxa"/>
            <w:vAlign w:val="center"/>
          </w:tcPr>
          <w:p>
            <w:pPr>
              <w:spacing w:line="240" w:lineRule="auto"/>
              <w:rPr>
                <w:rFonts w:ascii="宋体" w:hAnsi="宋体"/>
                <w:szCs w:val="21"/>
              </w:rPr>
            </w:pPr>
            <w:r>
              <w:rPr>
                <w:rFonts w:hint="eastAsia" w:ascii="宋体" w:hAnsi="宋体"/>
                <w:szCs w:val="21"/>
              </w:rPr>
              <w:t>计量法制要求</w:t>
            </w:r>
          </w:p>
        </w:tc>
        <w:tc>
          <w:tcPr>
            <w:tcW w:w="4789" w:type="dxa"/>
            <w:vAlign w:val="center"/>
          </w:tcPr>
          <w:p>
            <w:pPr>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依据《市场监管总局关于发布实施强制管理的计量器具目录的公告》的规定， 该企业的测量设备中有</w:t>
            </w:r>
            <w:r>
              <w:rPr>
                <w:rFonts w:hint="eastAsia" w:ascii="宋体" w:hAnsi="宋体"/>
                <w:color w:val="000000" w:themeColor="text1"/>
                <w:szCs w:val="21"/>
                <w:lang w:val="en-US" w:eastAsia="zh-CN"/>
                <w14:textFill>
                  <w14:solidFill>
                    <w14:schemeClr w14:val="tx1"/>
                  </w14:solidFill>
                </w14:textFill>
              </w:rPr>
              <w:t>11</w:t>
            </w:r>
            <w:r>
              <w:rPr>
                <w:rFonts w:hint="eastAsia" w:ascii="宋体" w:hAnsi="宋体"/>
                <w:color w:val="000000" w:themeColor="text1"/>
                <w:szCs w:val="21"/>
                <w14:textFill>
                  <w14:solidFill>
                    <w14:schemeClr w14:val="tx1"/>
                  </w14:solidFill>
                </w14:textFill>
              </w:rPr>
              <w:t>只用于安全防护的空压机储气罐压力表，属于强制检定的测量设备，均在有效期内使用，符合要求。</w:t>
            </w:r>
          </w:p>
        </w:tc>
        <w:tc>
          <w:tcPr>
            <w:tcW w:w="1289" w:type="dxa"/>
            <w:vAlign w:val="center"/>
          </w:tcPr>
          <w:p>
            <w:pPr>
              <w:spacing w:line="240" w:lineRule="auto"/>
              <w:ind w:firstLine="210" w:firstLineChars="100"/>
              <w:rPr>
                <w:rFonts w:ascii="宋体" w:hAnsi="宋体"/>
                <w:szCs w:val="21"/>
              </w:rPr>
            </w:pPr>
            <w:r>
              <w:rPr>
                <w:rFonts w:hint="eastAsia" w:ascii="宋体"/>
                <w:szCs w:val="21"/>
              </w:rPr>
              <w:t>品质部</w:t>
            </w:r>
          </w:p>
        </w:tc>
        <w:tc>
          <w:tcPr>
            <w:tcW w:w="892" w:type="dxa"/>
            <w:vAlign w:val="center"/>
          </w:tcPr>
          <w:p>
            <w:pPr>
              <w:spacing w:line="240" w:lineRule="auto"/>
              <w:ind w:firstLine="105" w:firstLineChars="5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1" w:type="dxa"/>
            <w:vAlign w:val="center"/>
          </w:tcPr>
          <w:p>
            <w:pPr>
              <w:spacing w:line="240" w:lineRule="auto"/>
              <w:rPr>
                <w:rFonts w:hint="default" w:ascii="宋体" w:hAnsi="宋体" w:eastAsia="宋体"/>
                <w:szCs w:val="21"/>
                <w:lang w:val="en-US" w:eastAsia="zh-CN"/>
              </w:rPr>
            </w:pPr>
            <w:r>
              <w:rPr>
                <w:rFonts w:hint="eastAsia" w:ascii="宋体" w:hAnsi="宋体"/>
                <w:szCs w:val="21"/>
                <w:lang w:val="en-US" w:eastAsia="zh-CN"/>
              </w:rPr>
              <w:t>10</w:t>
            </w:r>
          </w:p>
        </w:tc>
        <w:tc>
          <w:tcPr>
            <w:tcW w:w="1925" w:type="dxa"/>
          </w:tcPr>
          <w:p>
            <w:pPr>
              <w:spacing w:line="240" w:lineRule="auto"/>
              <w:rPr>
                <w:rFonts w:ascii="宋体" w:hAnsi="宋体"/>
                <w:szCs w:val="21"/>
              </w:rPr>
            </w:pPr>
            <w:r>
              <w:rPr>
                <w:rFonts w:hint="eastAsia" w:ascii="宋体" w:hAnsi="宋体"/>
                <w:szCs w:val="21"/>
              </w:rPr>
              <w:t>企业能源主要品种？年消耗标煤？是否是重点用能单位？</w:t>
            </w:r>
          </w:p>
        </w:tc>
        <w:tc>
          <w:tcPr>
            <w:tcW w:w="993" w:type="dxa"/>
            <w:vAlign w:val="center"/>
          </w:tcPr>
          <w:p>
            <w:pPr>
              <w:spacing w:line="240" w:lineRule="auto"/>
              <w:rPr>
                <w:szCs w:val="21"/>
              </w:rPr>
            </w:pPr>
            <w:r>
              <w:rPr>
                <w:rFonts w:hint="eastAsia" w:ascii="宋体" w:hAnsi="宋体"/>
                <w:szCs w:val="21"/>
              </w:rPr>
              <w:t>GB17167－2006</w:t>
            </w:r>
          </w:p>
          <w:p>
            <w:pPr>
              <w:spacing w:line="240" w:lineRule="auto"/>
              <w:rPr>
                <w:rFonts w:ascii="宋体" w:hAnsi="宋体"/>
                <w:szCs w:val="21"/>
              </w:rPr>
            </w:pPr>
          </w:p>
        </w:tc>
        <w:tc>
          <w:tcPr>
            <w:tcW w:w="4789" w:type="dxa"/>
          </w:tcPr>
          <w:p>
            <w:pPr>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szCs w:val="21"/>
              </w:rPr>
              <w:t>企业能源主要消耗为：电、水， 202</w:t>
            </w:r>
            <w:r>
              <w:rPr>
                <w:rFonts w:hint="eastAsia" w:ascii="宋体" w:hAnsi="宋体"/>
                <w:color w:val="000000"/>
                <w:szCs w:val="21"/>
                <w:lang w:val="en-US" w:eastAsia="zh-CN"/>
              </w:rPr>
              <w:t>1</w:t>
            </w:r>
            <w:r>
              <w:rPr>
                <w:rFonts w:hint="eastAsia" w:ascii="宋体" w:hAnsi="宋体"/>
                <w:color w:val="000000"/>
                <w:szCs w:val="21"/>
              </w:rPr>
              <w:t>年1</w:t>
            </w:r>
            <w:r>
              <w:rPr>
                <w:rFonts w:hint="eastAsia" w:ascii="宋体" w:hAnsi="宋体"/>
                <w:color w:val="000000"/>
                <w:szCs w:val="21"/>
                <w:lang w:val="en-US" w:eastAsia="zh-CN"/>
              </w:rPr>
              <w:t>0月</w:t>
            </w:r>
            <w:r>
              <w:rPr>
                <w:rFonts w:hint="eastAsia" w:ascii="宋体" w:hAnsi="宋体"/>
                <w:color w:val="000000"/>
                <w:szCs w:val="21"/>
              </w:rPr>
              <w:t>-</w:t>
            </w:r>
            <w:r>
              <w:rPr>
                <w:rFonts w:hint="eastAsia" w:ascii="宋体" w:hAnsi="宋体"/>
                <w:color w:val="000000"/>
                <w:szCs w:val="21"/>
                <w:lang w:val="en-US" w:eastAsia="zh-CN"/>
              </w:rPr>
              <w:t>2022年9</w:t>
            </w:r>
            <w:r>
              <w:rPr>
                <w:rFonts w:hint="eastAsia" w:ascii="宋体" w:hAnsi="宋体"/>
                <w:color w:val="000000"/>
                <w:szCs w:val="21"/>
              </w:rPr>
              <w:t>月份共消耗电</w:t>
            </w:r>
            <w:r>
              <w:rPr>
                <w:rFonts w:hint="eastAsia" w:ascii="宋体" w:hAnsi="宋体"/>
                <w:color w:val="000000"/>
                <w:szCs w:val="21"/>
                <w:lang w:val="en-US" w:eastAsia="zh-CN"/>
              </w:rPr>
              <w:t>1200万</w:t>
            </w:r>
            <w:r>
              <w:rPr>
                <w:rFonts w:hint="eastAsia" w:ascii="宋体" w:hAnsi="宋体"/>
                <w:color w:val="000000"/>
                <w:szCs w:val="21"/>
              </w:rPr>
              <w:t>千瓦时、用水1</w:t>
            </w:r>
            <w:r>
              <w:rPr>
                <w:rFonts w:hint="eastAsia" w:ascii="宋体" w:hAnsi="宋体"/>
                <w:color w:val="000000"/>
                <w:szCs w:val="21"/>
                <w:lang w:val="en-US" w:eastAsia="zh-CN"/>
              </w:rPr>
              <w:t>6659</w:t>
            </w:r>
            <w:r>
              <w:rPr>
                <w:rFonts w:hint="eastAsia" w:ascii="宋体" w:hAnsi="宋体"/>
                <w:color w:val="000000"/>
                <w:szCs w:val="21"/>
              </w:rPr>
              <w:t>吨,能耗约为1</w:t>
            </w:r>
            <w:r>
              <w:rPr>
                <w:rFonts w:hint="eastAsia" w:ascii="宋体" w:hAnsi="宋体"/>
                <w:color w:val="000000"/>
                <w:szCs w:val="21"/>
                <w:lang w:val="en-US" w:eastAsia="zh-CN"/>
              </w:rPr>
              <w:t>476</w:t>
            </w:r>
            <w:r>
              <w:rPr>
                <w:rFonts w:hint="eastAsia" w:ascii="宋体" w:hAnsi="宋体"/>
                <w:color w:val="000000"/>
                <w:szCs w:val="21"/>
              </w:rPr>
              <w:t>.</w:t>
            </w:r>
            <w:r>
              <w:rPr>
                <w:rFonts w:hint="eastAsia" w:ascii="宋体" w:hAnsi="宋体"/>
                <w:color w:val="000000"/>
                <w:szCs w:val="21"/>
                <w:lang w:val="en-US" w:eastAsia="zh-CN"/>
              </w:rPr>
              <w:t>83</w:t>
            </w:r>
            <w:r>
              <w:rPr>
                <w:rFonts w:hint="eastAsia" w:ascii="宋体" w:hAnsi="宋体"/>
                <w:color w:val="000000"/>
                <w:szCs w:val="21"/>
              </w:rPr>
              <w:t>吨标准煤，</w:t>
            </w:r>
            <w:r>
              <w:rPr>
                <w:rFonts w:hint="eastAsia" w:ascii="宋体" w:hAnsi="宋体"/>
                <w:color w:val="000000"/>
                <w:szCs w:val="21"/>
                <w:lang w:val="en-US" w:eastAsia="zh-CN"/>
              </w:rPr>
              <w:t>未列入本地</w:t>
            </w:r>
            <w:r>
              <w:rPr>
                <w:rFonts w:hint="eastAsia" w:ascii="宋体" w:hAnsi="宋体"/>
                <w:color w:val="000000"/>
                <w:szCs w:val="21"/>
              </w:rPr>
              <w:t>重点</w:t>
            </w:r>
            <w:r>
              <w:rPr>
                <w:rFonts w:hint="eastAsia" w:ascii="宋体" w:hAnsi="宋体"/>
                <w:color w:val="000000"/>
                <w:szCs w:val="21"/>
                <w:lang w:val="en-US" w:eastAsia="zh-CN"/>
              </w:rPr>
              <w:t>监控</w:t>
            </w:r>
            <w:r>
              <w:rPr>
                <w:rFonts w:hint="eastAsia" w:ascii="宋体" w:hAnsi="宋体"/>
                <w:color w:val="000000"/>
                <w:szCs w:val="21"/>
              </w:rPr>
              <w:t>用能单位。</w:t>
            </w:r>
          </w:p>
        </w:tc>
        <w:tc>
          <w:tcPr>
            <w:tcW w:w="1289" w:type="dxa"/>
            <w:vAlign w:val="center"/>
          </w:tcPr>
          <w:p>
            <w:pPr>
              <w:spacing w:line="240" w:lineRule="auto"/>
              <w:jc w:val="center"/>
              <w:rPr>
                <w:rFonts w:ascii="宋体"/>
                <w:szCs w:val="21"/>
              </w:rPr>
            </w:pPr>
            <w:r>
              <w:rPr>
                <w:rFonts w:hint="eastAsia" w:eastAsia="新宋体"/>
                <w:szCs w:val="21"/>
              </w:rPr>
              <w:t>生产</w:t>
            </w:r>
            <w:r>
              <w:rPr>
                <w:rFonts w:hint="eastAsia" w:ascii="宋体" w:hAnsi="宋体"/>
                <w:szCs w:val="21"/>
              </w:rPr>
              <w:t>部</w:t>
            </w:r>
          </w:p>
        </w:tc>
        <w:tc>
          <w:tcPr>
            <w:tcW w:w="892" w:type="dxa"/>
            <w:vAlign w:val="center"/>
          </w:tcPr>
          <w:p>
            <w:pPr>
              <w:spacing w:line="240" w:lineRule="auto"/>
              <w:ind w:firstLine="105" w:firstLineChars="5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1" w:type="dxa"/>
            <w:vAlign w:val="center"/>
          </w:tcPr>
          <w:p>
            <w:pPr>
              <w:spacing w:line="240" w:lineRule="auto"/>
              <w:jc w:val="center"/>
              <w:rPr>
                <w:rFonts w:hint="default"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11</w:t>
            </w:r>
          </w:p>
        </w:tc>
        <w:tc>
          <w:tcPr>
            <w:tcW w:w="1925" w:type="dxa"/>
            <w:vAlign w:val="top"/>
          </w:tcPr>
          <w:p>
            <w:pPr>
              <w:spacing w:line="240" w:lineRule="auto"/>
              <w:jc w:val="left"/>
              <w:rPr>
                <w:rFonts w:hint="eastAsia" w:ascii="宋体" w:hAnsi="宋体" w:eastAsia="宋体" w:cs="Times New Roman"/>
                <w:color w:val="auto"/>
                <w:kern w:val="2"/>
                <w:sz w:val="21"/>
                <w:szCs w:val="21"/>
                <w:lang w:val="en-US" w:eastAsia="zh-CN" w:bidi="ar-SA"/>
              </w:rPr>
            </w:pPr>
            <w:r>
              <w:rPr>
                <w:rFonts w:hint="eastAsia" w:ascii="宋体" w:hAnsi="宋体"/>
                <w:bCs/>
                <w:color w:val="auto"/>
                <w:szCs w:val="21"/>
              </w:rPr>
              <w:t>对企业的销售合同抽样，抽样范围需涵盖企业申请的产品的范围</w:t>
            </w:r>
          </w:p>
        </w:tc>
        <w:tc>
          <w:tcPr>
            <w:tcW w:w="993" w:type="dxa"/>
            <w:vAlign w:val="top"/>
          </w:tcPr>
          <w:p>
            <w:pPr>
              <w:spacing w:line="240" w:lineRule="auto"/>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产品的销售</w:t>
            </w:r>
          </w:p>
        </w:tc>
        <w:tc>
          <w:tcPr>
            <w:tcW w:w="4789" w:type="dxa"/>
            <w:vAlign w:val="top"/>
          </w:tcPr>
          <w:p>
            <w:pPr>
              <w:spacing w:line="240" w:lineRule="auto"/>
              <w:jc w:val="left"/>
              <w:rPr>
                <w:rFonts w:hint="eastAsia" w:ascii="Times New Roman" w:hAnsi="Times New Roman" w:eastAsia="宋体" w:cs="Times New Roman"/>
                <w:color w:val="auto"/>
                <w:kern w:val="2"/>
                <w:sz w:val="21"/>
                <w:szCs w:val="21"/>
                <w:lang w:val="en-US" w:eastAsia="zh-CN" w:bidi="ar-SA"/>
              </w:rPr>
            </w:pPr>
            <w:r>
              <w:rPr>
                <w:rFonts w:hint="eastAsia" w:ascii="宋体" w:hAnsi="宋体"/>
                <w:color w:val="000000"/>
                <w:szCs w:val="21"/>
              </w:rPr>
              <w:t>抽查</w:t>
            </w:r>
            <w:r>
              <w:rPr>
                <w:rFonts w:hint="eastAsia" w:ascii="宋体" w:hAnsi="宋体"/>
                <w:color w:val="000000"/>
                <w:szCs w:val="21"/>
                <w:lang w:val="en-US" w:eastAsia="zh-CN"/>
              </w:rPr>
              <w:t>围板、吸塑包装</w:t>
            </w:r>
            <w:r>
              <w:rPr>
                <w:rFonts w:hint="eastAsia" w:ascii="宋体" w:hAnsi="宋体"/>
                <w:color w:val="000000"/>
                <w:szCs w:val="21"/>
              </w:rPr>
              <w:t>产品的销售合同，合同编号</w:t>
            </w:r>
            <w:r>
              <w:rPr>
                <w:rFonts w:hint="eastAsia" w:ascii="宋体" w:hAnsi="宋体"/>
                <w:color w:val="000000"/>
                <w:szCs w:val="21"/>
                <w:lang w:val="en-US" w:eastAsia="zh-CN"/>
              </w:rPr>
              <w:t>CG-2022-001550</w:t>
            </w:r>
            <w:r>
              <w:rPr>
                <w:rFonts w:hint="eastAsia" w:ascii="宋体" w:hAnsi="宋体"/>
                <w:color w:val="000000"/>
                <w:szCs w:val="21"/>
              </w:rPr>
              <w:t>，签订时间</w:t>
            </w:r>
            <w:r>
              <w:rPr>
                <w:rFonts w:hint="eastAsia" w:ascii="宋体" w:hAnsi="宋体"/>
                <w:color w:val="000000"/>
                <w:szCs w:val="21"/>
                <w:lang w:val="en-US" w:eastAsia="zh-CN"/>
              </w:rPr>
              <w:t>2022</w:t>
            </w:r>
            <w:r>
              <w:rPr>
                <w:rFonts w:hint="eastAsia" w:ascii="宋体" w:hAnsi="宋体"/>
                <w:color w:val="000000"/>
                <w:szCs w:val="21"/>
              </w:rPr>
              <w:t>年</w:t>
            </w:r>
            <w:r>
              <w:rPr>
                <w:rFonts w:hint="eastAsia" w:ascii="宋体" w:hAnsi="宋体"/>
                <w:color w:val="000000"/>
                <w:szCs w:val="21"/>
                <w:lang w:val="en-US" w:eastAsia="zh-CN"/>
              </w:rPr>
              <w:t>09</w:t>
            </w:r>
            <w:r>
              <w:rPr>
                <w:rFonts w:hint="eastAsia" w:ascii="宋体" w:hAnsi="宋体"/>
                <w:color w:val="000000"/>
                <w:szCs w:val="21"/>
              </w:rPr>
              <w:t>月</w:t>
            </w:r>
            <w:r>
              <w:rPr>
                <w:rFonts w:hint="eastAsia" w:ascii="宋体" w:hAnsi="宋体"/>
                <w:color w:val="000000"/>
                <w:szCs w:val="21"/>
                <w:lang w:val="en-US" w:eastAsia="zh-CN"/>
              </w:rPr>
              <w:t>13</w:t>
            </w:r>
            <w:r>
              <w:rPr>
                <w:rFonts w:hint="eastAsia" w:ascii="宋体" w:hAnsi="宋体"/>
                <w:color w:val="000000"/>
                <w:szCs w:val="21"/>
              </w:rPr>
              <w:t>日</w:t>
            </w:r>
            <w:r>
              <w:rPr>
                <w:rFonts w:hint="eastAsia" w:ascii="宋体" w:hAnsi="宋体"/>
                <w:color w:val="000000"/>
                <w:szCs w:val="21"/>
                <w:lang w:eastAsia="zh-CN"/>
              </w:rPr>
              <w:t>；</w:t>
            </w:r>
            <w:r>
              <w:rPr>
                <w:rFonts w:hint="eastAsia" w:ascii="宋体" w:hAnsi="宋体"/>
                <w:color w:val="000000"/>
                <w:szCs w:val="21"/>
                <w:lang w:val="en-US" w:eastAsia="zh-CN"/>
              </w:rPr>
              <w:t>抽查托盘、顶盖热压产品的销售合同，</w:t>
            </w:r>
            <w:r>
              <w:rPr>
                <w:rFonts w:hint="eastAsia" w:ascii="宋体" w:hAnsi="宋体"/>
                <w:color w:val="000000"/>
                <w:szCs w:val="21"/>
              </w:rPr>
              <w:t>合同编号</w:t>
            </w:r>
            <w:r>
              <w:rPr>
                <w:rFonts w:hint="eastAsia" w:ascii="宋体" w:hAnsi="宋体"/>
                <w:color w:val="000000"/>
                <w:szCs w:val="21"/>
                <w:lang w:val="en-US" w:eastAsia="zh-CN"/>
              </w:rPr>
              <w:t>YQ-CG-202210-007</w:t>
            </w:r>
            <w:r>
              <w:rPr>
                <w:rFonts w:hint="eastAsia" w:ascii="宋体" w:hAnsi="宋体"/>
                <w:color w:val="000000"/>
                <w:szCs w:val="21"/>
              </w:rPr>
              <w:t>，签订时间</w:t>
            </w:r>
            <w:r>
              <w:rPr>
                <w:rFonts w:hint="eastAsia" w:ascii="宋体" w:hAnsi="宋体"/>
                <w:color w:val="000000"/>
                <w:szCs w:val="21"/>
                <w:lang w:val="en-US" w:eastAsia="zh-CN"/>
              </w:rPr>
              <w:t>2022</w:t>
            </w:r>
            <w:r>
              <w:rPr>
                <w:rFonts w:hint="eastAsia" w:ascii="宋体" w:hAnsi="宋体"/>
                <w:color w:val="000000"/>
                <w:szCs w:val="21"/>
              </w:rPr>
              <w:t>年</w:t>
            </w:r>
            <w:r>
              <w:rPr>
                <w:rFonts w:hint="eastAsia" w:ascii="宋体" w:hAnsi="宋体"/>
                <w:color w:val="000000"/>
                <w:szCs w:val="21"/>
                <w:lang w:val="en-US" w:eastAsia="zh-CN"/>
              </w:rPr>
              <w:t>10</w:t>
            </w:r>
            <w:r>
              <w:rPr>
                <w:rFonts w:hint="eastAsia" w:ascii="宋体" w:hAnsi="宋体"/>
                <w:color w:val="000000"/>
                <w:szCs w:val="21"/>
              </w:rPr>
              <w:t>月</w:t>
            </w:r>
            <w:r>
              <w:rPr>
                <w:rFonts w:hint="eastAsia" w:ascii="宋体" w:hAnsi="宋体"/>
                <w:color w:val="000000"/>
                <w:szCs w:val="21"/>
                <w:lang w:val="en-US" w:eastAsia="zh-CN"/>
              </w:rPr>
              <w:t>14</w:t>
            </w:r>
            <w:r>
              <w:rPr>
                <w:rFonts w:hint="eastAsia" w:ascii="宋体" w:hAnsi="宋体"/>
                <w:color w:val="000000"/>
                <w:szCs w:val="21"/>
              </w:rPr>
              <w:t>日。其中明确了质量保证、交货验收等条款</w:t>
            </w:r>
            <w:r>
              <w:rPr>
                <w:rFonts w:hint="eastAsia" w:ascii="宋体" w:hAnsi="宋体"/>
                <w:color w:val="000000"/>
                <w:szCs w:val="21"/>
                <w:lang w:eastAsia="zh-CN"/>
              </w:rPr>
              <w:t>，</w:t>
            </w:r>
            <w:r>
              <w:rPr>
                <w:rFonts w:hint="eastAsia" w:ascii="宋体" w:hAnsi="宋体"/>
                <w:color w:val="000000"/>
                <w:szCs w:val="21"/>
              </w:rPr>
              <w:t>企业对应的产品生产过程涉及有对应的测量过程和测量设备，测量设备的配备可满足该合同产品的生产和检验要求。</w:t>
            </w:r>
          </w:p>
        </w:tc>
        <w:tc>
          <w:tcPr>
            <w:tcW w:w="1289" w:type="dxa"/>
            <w:vAlign w:val="top"/>
          </w:tcPr>
          <w:p>
            <w:pPr>
              <w:spacing w:line="240" w:lineRule="auto"/>
              <w:ind w:firstLine="210" w:firstLineChars="100"/>
              <w:rPr>
                <w:rFonts w:hint="eastAsia" w:ascii="宋体"/>
                <w:szCs w:val="21"/>
              </w:rPr>
            </w:pPr>
            <w:r>
              <w:rPr>
                <w:rFonts w:hint="eastAsia" w:ascii="宋体"/>
                <w:szCs w:val="21"/>
              </w:rPr>
              <w:t>品质部</w:t>
            </w:r>
          </w:p>
          <w:p>
            <w:pPr>
              <w:spacing w:line="240" w:lineRule="auto"/>
              <w:ind w:firstLine="210" w:firstLineChars="100"/>
              <w:rPr>
                <w:rFonts w:hint="eastAsia" w:ascii="宋体"/>
                <w:szCs w:val="21"/>
              </w:rPr>
            </w:pPr>
            <w:r>
              <w:rPr>
                <w:rFonts w:hint="eastAsia" w:ascii="宋体"/>
                <w:szCs w:val="21"/>
              </w:rPr>
              <w:t>销售部</w:t>
            </w:r>
          </w:p>
          <w:p>
            <w:pPr>
              <w:spacing w:line="240" w:lineRule="auto"/>
              <w:ind w:firstLine="210" w:firstLineChars="100"/>
              <w:rPr>
                <w:rFonts w:hint="eastAsia" w:ascii="宋体"/>
                <w:szCs w:val="21"/>
              </w:rPr>
            </w:pPr>
            <w:r>
              <w:rPr>
                <w:rFonts w:hint="eastAsia" w:ascii="宋体"/>
                <w:szCs w:val="21"/>
              </w:rPr>
              <w:t>生产部</w:t>
            </w:r>
          </w:p>
          <w:p>
            <w:pPr>
              <w:pStyle w:val="2"/>
              <w:spacing w:line="240" w:lineRule="auto"/>
              <w:rPr>
                <w:rFonts w:hint="eastAsia"/>
                <w:lang w:val="en-US" w:eastAsia="zh-CN"/>
              </w:rPr>
            </w:pPr>
          </w:p>
        </w:tc>
        <w:tc>
          <w:tcPr>
            <w:tcW w:w="892" w:type="dxa"/>
            <w:vAlign w:val="top"/>
          </w:tcPr>
          <w:p>
            <w:pPr>
              <w:spacing w:line="240" w:lineRule="auto"/>
              <w:jc w:val="left"/>
              <w:rPr>
                <w:rFonts w:hint="eastAsia" w:ascii="宋体" w:hAnsi="宋体" w:eastAsia="宋体" w:cs="Times New Roman"/>
                <w:kern w:val="2"/>
                <w:sz w:val="21"/>
                <w:szCs w:val="21"/>
                <w:lang w:val="en-US" w:eastAsia="zh-CN" w:bidi="ar-SA"/>
              </w:rPr>
            </w:pPr>
            <w:r>
              <w:rPr>
                <w:rFonts w:hint="eastAsia" w:ascii="宋体" w:hAnsi="宋体"/>
                <w:szCs w:val="21"/>
              </w:rPr>
              <w:t>否</w:t>
            </w:r>
          </w:p>
        </w:tc>
      </w:tr>
    </w:tbl>
    <w:p>
      <w:pPr>
        <w:tabs>
          <w:tab w:val="left" w:pos="4176"/>
        </w:tabs>
        <w:rPr>
          <w:rFonts w:ascii="宋体"/>
          <w:sz w:val="24"/>
        </w:rPr>
      </w:pPr>
    </w:p>
    <w:sectPr>
      <w:headerReference r:id="rId3" w:type="default"/>
      <w:footerReference r:id="rId4" w:type="default"/>
      <w:pgSz w:w="11906" w:h="16838"/>
      <w:pgMar w:top="1276" w:right="926" w:bottom="779" w:left="1080" w:header="397" w:footer="57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line="320" w:lineRule="exact"/>
      <w:ind w:left="-86" w:leftChars="-41" w:firstLine="720" w:firstLineChars="400"/>
      <w:jc w:val="left"/>
    </w:pPr>
    <w:r>
      <w:drawing>
        <wp:anchor distT="0" distB="0" distL="114300" distR="114300" simplePos="0" relativeHeight="251660288" behindDoc="1" locked="0" layoutInCell="1" allowOverlap="1">
          <wp:simplePos x="0" y="0"/>
          <wp:positionH relativeFrom="column">
            <wp:posOffset>46990</wp:posOffset>
          </wp:positionH>
          <wp:positionV relativeFrom="paragraph">
            <wp:posOffset>188595</wp:posOffset>
          </wp:positionV>
          <wp:extent cx="410210" cy="433070"/>
          <wp:effectExtent l="0" t="0" r="8890" b="5080"/>
          <wp:wrapTight wrapText="bothSides">
            <wp:wrapPolygon>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6"/>
      <w:pBdr>
        <w:bottom w:val="none" w:color="auto" w:sz="0" w:space="0"/>
      </w:pBdr>
      <w:spacing w:line="320" w:lineRule="exact"/>
      <w:ind w:left="-1023" w:leftChars="-487" w:firstLine="1793" w:firstLineChars="854"/>
      <w:jc w:val="left"/>
      <w:rPr>
        <w:rStyle w:val="17"/>
        <w:rFonts w:hint="default" w:ascii="Times New Roman" w:hAnsi="Times New Roman"/>
        <w:szCs w:val="21"/>
      </w:rPr>
    </w:pPr>
    <w:r>
      <w:rPr>
        <w:rStyle w:val="17"/>
        <w:rFonts w:hint="default" w:ascii="Times New Roman" w:hAnsi="Times New Roman"/>
        <w:szCs w:val="21"/>
      </w:rPr>
      <w:t>北京国标联合认证有限公司</w:t>
    </w:r>
  </w:p>
  <w:p>
    <w:pPr>
      <w:pStyle w:val="6"/>
      <w:pBdr>
        <w:bottom w:val="none" w:color="auto" w:sz="0" w:space="1"/>
      </w:pBdr>
      <w:spacing w:line="320" w:lineRule="exact"/>
      <w:jc w:val="left"/>
      <w:rPr>
        <w:sz w:val="21"/>
        <w:szCs w:val="21"/>
      </w:rPr>
    </w:pPr>
    <w:r>
      <w:rPr>
        <w:sz w:val="21"/>
        <w:szCs w:val="21"/>
      </w:rPr>
      <mc:AlternateContent>
        <mc:Choice Requires="wps">
          <w:drawing>
            <wp:anchor distT="0" distB="0" distL="114300" distR="114300" simplePos="0" relativeHeight="251661312" behindDoc="0" locked="0" layoutInCell="1" allowOverlap="1">
              <wp:simplePos x="0" y="0"/>
              <wp:positionH relativeFrom="column">
                <wp:posOffset>3810000</wp:posOffset>
              </wp:positionH>
              <wp:positionV relativeFrom="paragraph">
                <wp:posOffset>-5080</wp:posOffset>
              </wp:positionV>
              <wp:extent cx="2592070" cy="261620"/>
              <wp:effectExtent l="0" t="0" r="13970" b="12700"/>
              <wp:wrapNone/>
              <wp:docPr id="2" name="文本框 1"/>
              <wp:cNvGraphicFramePr/>
              <a:graphic xmlns:a="http://schemas.openxmlformats.org/drawingml/2006/main">
                <a:graphicData uri="http://schemas.microsoft.com/office/word/2010/wordprocessingShape">
                  <wps:wsp>
                    <wps:cNvSpPr txBox="1"/>
                    <wps:spPr>
                      <a:xfrm>
                        <a:off x="0" y="0"/>
                        <a:ext cx="1838325" cy="432435"/>
                      </a:xfrm>
                      <a:prstGeom prst="rect">
                        <a:avLst/>
                      </a:prstGeom>
                      <a:solidFill>
                        <a:srgbClr val="FFFFFF"/>
                      </a:solidFill>
                      <a:ln w="9525">
                        <a:noFill/>
                      </a:ln>
                      <a:effectLst/>
                    </wps:spPr>
                    <wps:txbx>
                      <w:txbxContent>
                        <w:p>
                          <w:pPr>
                            <w:rPr>
                              <w:sz w:val="18"/>
                              <w:szCs w:val="18"/>
                            </w:rPr>
                          </w:pPr>
                          <w:r>
                            <w:rPr>
                              <w:szCs w:val="21"/>
                            </w:rPr>
                            <w:t>ISC-A-I</w:t>
                          </w:r>
                          <w:r>
                            <w:rPr>
                              <w:rFonts w:hint="eastAsia"/>
                              <w:szCs w:val="21"/>
                            </w:rPr>
                            <w:t>I</w:t>
                          </w:r>
                          <w:r>
                            <w:rPr>
                              <w:szCs w:val="21"/>
                            </w:rPr>
                            <w:t>-</w:t>
                          </w:r>
                          <w:r>
                            <w:rPr>
                              <w:rFonts w:hint="eastAsia"/>
                              <w:szCs w:val="21"/>
                            </w:rPr>
                            <w:t>10审核员现场审核记录（0</w:t>
                          </w:r>
                          <w:r>
                            <w:rPr>
                              <w:szCs w:val="21"/>
                            </w:rPr>
                            <w:t>7</w:t>
                          </w:r>
                          <w:r>
                            <w:rPr>
                              <w:rFonts w:hint="eastAsia"/>
                              <w:szCs w:val="21"/>
                            </w:rPr>
                            <w:t>版）</w:t>
                          </w:r>
                        </w:p>
                      </w:txbxContent>
                    </wps:txbx>
                    <wps:bodyPr wrap="square" upright="1"/>
                  </wps:wsp>
                </a:graphicData>
              </a:graphic>
            </wp:anchor>
          </w:drawing>
        </mc:Choice>
        <mc:Fallback>
          <w:pict>
            <v:shape id="文本框 1" o:spid="_x0000_s1026" o:spt="202" type="#_x0000_t202" style="position:absolute;left:0pt;margin-left:300pt;margin-top:-0.4pt;height:20.6pt;width:204.1pt;z-index:251661312;mso-width-relative:page;mso-height-relative:page;" fillcolor="#FFFFFF" filled="t" stroked="f" coordsize="21600,21600" o:gfxdata="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dpPBbWAAAACQEAAA8AAAAAAAAAAQAg&#10;AAAAIgAAAGRycy9kb3ducmV2LnhtbFBLAQIUABQAAAAIAIdO4kDMarYI1wEAAJwDAAAOAAAAAAAA&#10;AAEAIAAAACUBAABkcnMvZTJvRG9jLnhtbFBLBQYAAAAABgAGAFkBAABuBQAAAAA=&#10;">
              <v:fill on="t" focussize="0,0"/>
              <v:stroke on="f"/>
              <v:imagedata o:title=""/>
              <o:lock v:ext="edit" aspectratio="f"/>
              <v:textbox>
                <w:txbxContent>
                  <w:p>
                    <w:pPr>
                      <w:rPr>
                        <w:sz w:val="18"/>
                        <w:szCs w:val="18"/>
                      </w:rPr>
                    </w:pPr>
                    <w:r>
                      <w:rPr>
                        <w:szCs w:val="21"/>
                      </w:rPr>
                      <w:t>ISC-A-I</w:t>
                    </w:r>
                    <w:r>
                      <w:rPr>
                        <w:rFonts w:hint="eastAsia"/>
                        <w:szCs w:val="21"/>
                      </w:rPr>
                      <w:t>I</w:t>
                    </w:r>
                    <w:r>
                      <w:rPr>
                        <w:szCs w:val="21"/>
                      </w:rPr>
                      <w:t>-</w:t>
                    </w:r>
                    <w:r>
                      <w:rPr>
                        <w:rFonts w:hint="eastAsia"/>
                        <w:szCs w:val="21"/>
                      </w:rPr>
                      <w:t>10审核员现场审核记录（0</w:t>
                    </w:r>
                    <w:r>
                      <w:rPr>
                        <w:szCs w:val="21"/>
                      </w:rPr>
                      <w:t>7</w:t>
                    </w:r>
                    <w:r>
                      <w:rPr>
                        <w:rFonts w:hint="eastAsia"/>
                        <w:szCs w:val="21"/>
                      </w:rPr>
                      <w:t>版）</w:t>
                    </w:r>
                  </w:p>
                </w:txbxContent>
              </v:textbox>
            </v:shape>
          </w:pict>
        </mc:Fallback>
      </mc:AlternateContent>
    </w:r>
    <w:r>
      <w:rPr>
        <w:rStyle w:val="17"/>
        <w:rFonts w:hint="default" w:ascii="Times New Roman" w:hAnsi="Times New Roman"/>
        <w:w w:val="80"/>
        <w:szCs w:val="21"/>
      </w:rPr>
      <w:t>Beijing International Standard united Certification Co.,Ltd.</w:t>
    </w:r>
  </w:p>
  <w:p>
    <w:pPr>
      <w:rPr>
        <w:rFonts w:hint="eastAsia"/>
        <w:szCs w:val="21"/>
      </w:rPr>
    </w:pPr>
    <w:r>
      <w:rPr>
        <w:szCs w:val="21"/>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29210</wp:posOffset>
              </wp:positionV>
              <wp:extent cx="6314440" cy="8890"/>
              <wp:effectExtent l="0" t="0" r="0" b="0"/>
              <wp:wrapNone/>
              <wp:docPr id="3" name="直线 5"/>
              <wp:cNvGraphicFramePr/>
              <a:graphic xmlns:a="http://schemas.openxmlformats.org/drawingml/2006/main">
                <a:graphicData uri="http://schemas.microsoft.com/office/word/2010/wordprocessingShape">
                  <wps:wsp>
                    <wps:cNvCnPr/>
                    <wps:spPr>
                      <a:xfrm flipV="1">
                        <a:off x="0" y="0"/>
                        <a:ext cx="6314440" cy="889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flip:y;margin-left:-0.45pt;margin-top:2.3pt;height:0.7pt;width:497.2pt;z-index:251662336;mso-width-relative:page;mso-height-relative:page;" filled="f" stroked="t" coordsize="21600,21600" o:gfxdata="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jGrzzUAAAABQEAAA8AAAAAAAAAAQAgAAAAIgAAAGRycy9kb3ducmV2LnhtbFBLAQIUABQAAAAI&#10;AIdO4kA/xkMR8QEAAOoDAAAOAAAAAAAAAAEAIAAAACMBAABkcnMvZTJvRG9jLnhtbFBLBQYAAAAA&#10;BgAGAFkBAACG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bullet"/>
      <w:pStyle w:val="12"/>
      <w:lvlText w:val="□"/>
      <w:lvlJc w:val="left"/>
      <w:pPr>
        <w:tabs>
          <w:tab w:val="left" w:pos="252"/>
        </w:tabs>
        <w:ind w:left="252" w:hanging="360"/>
      </w:pPr>
      <w:rPr>
        <w:rFonts w:hint="eastAsia" w:ascii="宋体"/>
      </w:rPr>
    </w:lvl>
  </w:abstractNum>
  <w:abstractNum w:abstractNumId="1">
    <w:nsid w:val="00000005"/>
    <w:multiLevelType w:val="singleLevel"/>
    <w:tmpl w:val="00000005"/>
    <w:lvl w:ilvl="0" w:tentative="0">
      <w:start w:val="3"/>
      <w:numFmt w:val="bullet"/>
      <w:pStyle w:val="11"/>
      <w:lvlText w:val="□"/>
      <w:lvlJc w:val="left"/>
      <w:pPr>
        <w:tabs>
          <w:tab w:val="left" w:pos="252"/>
        </w:tabs>
        <w:ind w:left="252" w:hanging="360"/>
      </w:pPr>
      <w:rPr>
        <w:rFonts w:hint="eastAsia" w:ascii="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5NmZlNzA5ODYxNGUyOTRiZTU2ZGQ4ZmFhMDM0OGUifQ=="/>
  </w:docVars>
  <w:rsids>
    <w:rsidRoot w:val="006669BF"/>
    <w:rsid w:val="000134A5"/>
    <w:rsid w:val="00021238"/>
    <w:rsid w:val="00025257"/>
    <w:rsid w:val="00032BB0"/>
    <w:rsid w:val="00037044"/>
    <w:rsid w:val="00044789"/>
    <w:rsid w:val="0004479C"/>
    <w:rsid w:val="00046AD7"/>
    <w:rsid w:val="00064332"/>
    <w:rsid w:val="00092564"/>
    <w:rsid w:val="000A03EA"/>
    <w:rsid w:val="000C49CA"/>
    <w:rsid w:val="000D18B9"/>
    <w:rsid w:val="000D3711"/>
    <w:rsid w:val="000D7862"/>
    <w:rsid w:val="000E03B7"/>
    <w:rsid w:val="000F0ADF"/>
    <w:rsid w:val="000F5482"/>
    <w:rsid w:val="000F6EB2"/>
    <w:rsid w:val="00110C28"/>
    <w:rsid w:val="00113ABD"/>
    <w:rsid w:val="00123B58"/>
    <w:rsid w:val="001336C5"/>
    <w:rsid w:val="00140AC0"/>
    <w:rsid w:val="00140FD5"/>
    <w:rsid w:val="00141863"/>
    <w:rsid w:val="001432B3"/>
    <w:rsid w:val="00145985"/>
    <w:rsid w:val="00146EAE"/>
    <w:rsid w:val="00160DB0"/>
    <w:rsid w:val="00177CAA"/>
    <w:rsid w:val="00180F87"/>
    <w:rsid w:val="00185E5E"/>
    <w:rsid w:val="00192656"/>
    <w:rsid w:val="001A24E1"/>
    <w:rsid w:val="001A30A4"/>
    <w:rsid w:val="001C1C5F"/>
    <w:rsid w:val="001C2DB7"/>
    <w:rsid w:val="001C3BE0"/>
    <w:rsid w:val="001C44C0"/>
    <w:rsid w:val="001C5B90"/>
    <w:rsid w:val="001D2E28"/>
    <w:rsid w:val="001D36CD"/>
    <w:rsid w:val="001D6D49"/>
    <w:rsid w:val="001E3F22"/>
    <w:rsid w:val="00223355"/>
    <w:rsid w:val="002268BF"/>
    <w:rsid w:val="00237AD3"/>
    <w:rsid w:val="00242043"/>
    <w:rsid w:val="002474F2"/>
    <w:rsid w:val="00261EA3"/>
    <w:rsid w:val="002620E2"/>
    <w:rsid w:val="00273D8D"/>
    <w:rsid w:val="00287749"/>
    <w:rsid w:val="002A7F9C"/>
    <w:rsid w:val="002B3A5C"/>
    <w:rsid w:val="002B79F9"/>
    <w:rsid w:val="002C2619"/>
    <w:rsid w:val="002C2E85"/>
    <w:rsid w:val="002D1DEB"/>
    <w:rsid w:val="003050AA"/>
    <w:rsid w:val="003131CE"/>
    <w:rsid w:val="00321F76"/>
    <w:rsid w:val="00332C2B"/>
    <w:rsid w:val="003430AD"/>
    <w:rsid w:val="00344CFB"/>
    <w:rsid w:val="003457C7"/>
    <w:rsid w:val="00346BC4"/>
    <w:rsid w:val="00360AA6"/>
    <w:rsid w:val="0036147E"/>
    <w:rsid w:val="00361951"/>
    <w:rsid w:val="00366642"/>
    <w:rsid w:val="003748EA"/>
    <w:rsid w:val="0039603A"/>
    <w:rsid w:val="003B55AA"/>
    <w:rsid w:val="003B646D"/>
    <w:rsid w:val="003D78C6"/>
    <w:rsid w:val="003E22D3"/>
    <w:rsid w:val="003E39C6"/>
    <w:rsid w:val="003E5D0C"/>
    <w:rsid w:val="003F2387"/>
    <w:rsid w:val="003F23E9"/>
    <w:rsid w:val="003F247F"/>
    <w:rsid w:val="0040564D"/>
    <w:rsid w:val="004060CD"/>
    <w:rsid w:val="00440FA4"/>
    <w:rsid w:val="0044674E"/>
    <w:rsid w:val="00450DE8"/>
    <w:rsid w:val="00451244"/>
    <w:rsid w:val="00451D6E"/>
    <w:rsid w:val="00451F5C"/>
    <w:rsid w:val="00460451"/>
    <w:rsid w:val="0047086E"/>
    <w:rsid w:val="004708EC"/>
    <w:rsid w:val="00476DFF"/>
    <w:rsid w:val="00495B94"/>
    <w:rsid w:val="00495DA0"/>
    <w:rsid w:val="004A165D"/>
    <w:rsid w:val="004A2787"/>
    <w:rsid w:val="004A7BD3"/>
    <w:rsid w:val="004B5907"/>
    <w:rsid w:val="004B7F09"/>
    <w:rsid w:val="004C0167"/>
    <w:rsid w:val="004C3239"/>
    <w:rsid w:val="004F4F63"/>
    <w:rsid w:val="00506704"/>
    <w:rsid w:val="005249F6"/>
    <w:rsid w:val="00531CA7"/>
    <w:rsid w:val="005451B3"/>
    <w:rsid w:val="00545A1F"/>
    <w:rsid w:val="005549E0"/>
    <w:rsid w:val="005609C1"/>
    <w:rsid w:val="0056155E"/>
    <w:rsid w:val="00571669"/>
    <w:rsid w:val="00583B8C"/>
    <w:rsid w:val="0058509E"/>
    <w:rsid w:val="005B6FEA"/>
    <w:rsid w:val="005B79C0"/>
    <w:rsid w:val="005C26D8"/>
    <w:rsid w:val="005C63F1"/>
    <w:rsid w:val="005D2D77"/>
    <w:rsid w:val="005D77B5"/>
    <w:rsid w:val="00606D7B"/>
    <w:rsid w:val="00615A33"/>
    <w:rsid w:val="00622175"/>
    <w:rsid w:val="00622E44"/>
    <w:rsid w:val="00631C2B"/>
    <w:rsid w:val="006431EF"/>
    <w:rsid w:val="0064541E"/>
    <w:rsid w:val="0065324E"/>
    <w:rsid w:val="006669BF"/>
    <w:rsid w:val="00675B7E"/>
    <w:rsid w:val="0067610E"/>
    <w:rsid w:val="0067617C"/>
    <w:rsid w:val="00676CE6"/>
    <w:rsid w:val="0068022D"/>
    <w:rsid w:val="006877D6"/>
    <w:rsid w:val="006900AD"/>
    <w:rsid w:val="006915EE"/>
    <w:rsid w:val="00696899"/>
    <w:rsid w:val="00696B46"/>
    <w:rsid w:val="00696FA3"/>
    <w:rsid w:val="006B4901"/>
    <w:rsid w:val="006C3658"/>
    <w:rsid w:val="006E1D2E"/>
    <w:rsid w:val="006E4AC6"/>
    <w:rsid w:val="006E597D"/>
    <w:rsid w:val="006F2BAC"/>
    <w:rsid w:val="006F3336"/>
    <w:rsid w:val="006F6599"/>
    <w:rsid w:val="00700621"/>
    <w:rsid w:val="0070231D"/>
    <w:rsid w:val="0070328E"/>
    <w:rsid w:val="007071CE"/>
    <w:rsid w:val="0071293A"/>
    <w:rsid w:val="00714672"/>
    <w:rsid w:val="00714D09"/>
    <w:rsid w:val="007460FF"/>
    <w:rsid w:val="00754CDC"/>
    <w:rsid w:val="007562B8"/>
    <w:rsid w:val="00794C85"/>
    <w:rsid w:val="00795A4D"/>
    <w:rsid w:val="007963DD"/>
    <w:rsid w:val="007A40B0"/>
    <w:rsid w:val="007B4A72"/>
    <w:rsid w:val="007B4D3F"/>
    <w:rsid w:val="007C1EDC"/>
    <w:rsid w:val="007C6817"/>
    <w:rsid w:val="007D1244"/>
    <w:rsid w:val="007D3C00"/>
    <w:rsid w:val="007E3918"/>
    <w:rsid w:val="007E4A11"/>
    <w:rsid w:val="007F4344"/>
    <w:rsid w:val="007F6F3E"/>
    <w:rsid w:val="008106A1"/>
    <w:rsid w:val="00811FDF"/>
    <w:rsid w:val="00816C52"/>
    <w:rsid w:val="00822E33"/>
    <w:rsid w:val="00824D9A"/>
    <w:rsid w:val="008252FD"/>
    <w:rsid w:val="00841271"/>
    <w:rsid w:val="0084794F"/>
    <w:rsid w:val="008607FE"/>
    <w:rsid w:val="00865425"/>
    <w:rsid w:val="008916F1"/>
    <w:rsid w:val="008A2E9B"/>
    <w:rsid w:val="008B2A03"/>
    <w:rsid w:val="008B3800"/>
    <w:rsid w:val="008B7618"/>
    <w:rsid w:val="008D3FBC"/>
    <w:rsid w:val="008D73FF"/>
    <w:rsid w:val="008E1413"/>
    <w:rsid w:val="008E3137"/>
    <w:rsid w:val="008F102E"/>
    <w:rsid w:val="008F5254"/>
    <w:rsid w:val="00900FF7"/>
    <w:rsid w:val="0090374A"/>
    <w:rsid w:val="00906765"/>
    <w:rsid w:val="00906B4B"/>
    <w:rsid w:val="00925B52"/>
    <w:rsid w:val="00940995"/>
    <w:rsid w:val="0095020B"/>
    <w:rsid w:val="00953D4C"/>
    <w:rsid w:val="00983481"/>
    <w:rsid w:val="009A4193"/>
    <w:rsid w:val="009B68CF"/>
    <w:rsid w:val="009D4353"/>
    <w:rsid w:val="009E3A16"/>
    <w:rsid w:val="009E76AD"/>
    <w:rsid w:val="009F24F0"/>
    <w:rsid w:val="009F3B2A"/>
    <w:rsid w:val="00A01BCD"/>
    <w:rsid w:val="00A02B2C"/>
    <w:rsid w:val="00A22AA2"/>
    <w:rsid w:val="00A33EF6"/>
    <w:rsid w:val="00A50236"/>
    <w:rsid w:val="00A54777"/>
    <w:rsid w:val="00A76ED4"/>
    <w:rsid w:val="00A77618"/>
    <w:rsid w:val="00A77DB1"/>
    <w:rsid w:val="00A8118F"/>
    <w:rsid w:val="00A82CED"/>
    <w:rsid w:val="00AA5DCB"/>
    <w:rsid w:val="00AB029D"/>
    <w:rsid w:val="00AB68B4"/>
    <w:rsid w:val="00AD1F97"/>
    <w:rsid w:val="00AE0FF6"/>
    <w:rsid w:val="00AF7AB1"/>
    <w:rsid w:val="00B106A7"/>
    <w:rsid w:val="00B11A08"/>
    <w:rsid w:val="00B17D51"/>
    <w:rsid w:val="00B24B82"/>
    <w:rsid w:val="00B31D29"/>
    <w:rsid w:val="00B323C4"/>
    <w:rsid w:val="00B340AA"/>
    <w:rsid w:val="00B37E95"/>
    <w:rsid w:val="00B4042F"/>
    <w:rsid w:val="00B43201"/>
    <w:rsid w:val="00B45C1B"/>
    <w:rsid w:val="00B53E2F"/>
    <w:rsid w:val="00B5719B"/>
    <w:rsid w:val="00B72A01"/>
    <w:rsid w:val="00B77AC9"/>
    <w:rsid w:val="00B91A5C"/>
    <w:rsid w:val="00B9465F"/>
    <w:rsid w:val="00BC727C"/>
    <w:rsid w:val="00BC73CF"/>
    <w:rsid w:val="00BE008A"/>
    <w:rsid w:val="00BE2FAC"/>
    <w:rsid w:val="00BF0672"/>
    <w:rsid w:val="00BF3B70"/>
    <w:rsid w:val="00BF527E"/>
    <w:rsid w:val="00BF77F8"/>
    <w:rsid w:val="00C01BDE"/>
    <w:rsid w:val="00C3501F"/>
    <w:rsid w:val="00C3559B"/>
    <w:rsid w:val="00C42D20"/>
    <w:rsid w:val="00C64B02"/>
    <w:rsid w:val="00C748F2"/>
    <w:rsid w:val="00C961B4"/>
    <w:rsid w:val="00C9766F"/>
    <w:rsid w:val="00CA6727"/>
    <w:rsid w:val="00CC4940"/>
    <w:rsid w:val="00CE1369"/>
    <w:rsid w:val="00CE307B"/>
    <w:rsid w:val="00CE5838"/>
    <w:rsid w:val="00D11B13"/>
    <w:rsid w:val="00D1697E"/>
    <w:rsid w:val="00D31FE3"/>
    <w:rsid w:val="00D33E57"/>
    <w:rsid w:val="00D42709"/>
    <w:rsid w:val="00D43589"/>
    <w:rsid w:val="00D45340"/>
    <w:rsid w:val="00D53C75"/>
    <w:rsid w:val="00D667B1"/>
    <w:rsid w:val="00D72314"/>
    <w:rsid w:val="00D739F0"/>
    <w:rsid w:val="00D81A3E"/>
    <w:rsid w:val="00D85529"/>
    <w:rsid w:val="00D96DE5"/>
    <w:rsid w:val="00D97D81"/>
    <w:rsid w:val="00DB2DDB"/>
    <w:rsid w:val="00DB3AE7"/>
    <w:rsid w:val="00DD2B09"/>
    <w:rsid w:val="00DD3128"/>
    <w:rsid w:val="00DD3850"/>
    <w:rsid w:val="00DD4075"/>
    <w:rsid w:val="00DD5A67"/>
    <w:rsid w:val="00DE28F6"/>
    <w:rsid w:val="00DE3298"/>
    <w:rsid w:val="00DE3D24"/>
    <w:rsid w:val="00DE577E"/>
    <w:rsid w:val="00DF513E"/>
    <w:rsid w:val="00E014B8"/>
    <w:rsid w:val="00E01D4A"/>
    <w:rsid w:val="00E036B1"/>
    <w:rsid w:val="00E23545"/>
    <w:rsid w:val="00E24902"/>
    <w:rsid w:val="00E31570"/>
    <w:rsid w:val="00E50026"/>
    <w:rsid w:val="00E506AB"/>
    <w:rsid w:val="00E52053"/>
    <w:rsid w:val="00E525B9"/>
    <w:rsid w:val="00E66082"/>
    <w:rsid w:val="00E83217"/>
    <w:rsid w:val="00E9139C"/>
    <w:rsid w:val="00EA05CF"/>
    <w:rsid w:val="00EA0AD2"/>
    <w:rsid w:val="00EC236D"/>
    <w:rsid w:val="00EC4A49"/>
    <w:rsid w:val="00EC4DB3"/>
    <w:rsid w:val="00ED26FD"/>
    <w:rsid w:val="00EE232F"/>
    <w:rsid w:val="00EF3294"/>
    <w:rsid w:val="00F14258"/>
    <w:rsid w:val="00F172D6"/>
    <w:rsid w:val="00F23F18"/>
    <w:rsid w:val="00F24E2F"/>
    <w:rsid w:val="00F2618C"/>
    <w:rsid w:val="00F35DA2"/>
    <w:rsid w:val="00F4336F"/>
    <w:rsid w:val="00F47487"/>
    <w:rsid w:val="00F52E82"/>
    <w:rsid w:val="00F57229"/>
    <w:rsid w:val="00F65882"/>
    <w:rsid w:val="00F93981"/>
    <w:rsid w:val="00FA3AA6"/>
    <w:rsid w:val="00FB6B67"/>
    <w:rsid w:val="00FB7297"/>
    <w:rsid w:val="00FB7F2D"/>
    <w:rsid w:val="00FF5104"/>
    <w:rsid w:val="02060DD5"/>
    <w:rsid w:val="02B1205A"/>
    <w:rsid w:val="04123E3D"/>
    <w:rsid w:val="044F27F8"/>
    <w:rsid w:val="045711FC"/>
    <w:rsid w:val="04874B6F"/>
    <w:rsid w:val="05D51A25"/>
    <w:rsid w:val="06272B46"/>
    <w:rsid w:val="085B531A"/>
    <w:rsid w:val="086C13F9"/>
    <w:rsid w:val="0A097410"/>
    <w:rsid w:val="0B4272EA"/>
    <w:rsid w:val="0B4D50E3"/>
    <w:rsid w:val="0B770136"/>
    <w:rsid w:val="0BA811D8"/>
    <w:rsid w:val="0C165AE3"/>
    <w:rsid w:val="0C4E570C"/>
    <w:rsid w:val="0D706302"/>
    <w:rsid w:val="0D7A72A3"/>
    <w:rsid w:val="0DDF31B7"/>
    <w:rsid w:val="0EAF4BC3"/>
    <w:rsid w:val="0FE91DAB"/>
    <w:rsid w:val="10D6559F"/>
    <w:rsid w:val="1216244D"/>
    <w:rsid w:val="12891005"/>
    <w:rsid w:val="13A57A3D"/>
    <w:rsid w:val="14843D4A"/>
    <w:rsid w:val="152F4C16"/>
    <w:rsid w:val="15802E15"/>
    <w:rsid w:val="15EF1D75"/>
    <w:rsid w:val="16FE1A3D"/>
    <w:rsid w:val="17E07896"/>
    <w:rsid w:val="17F60768"/>
    <w:rsid w:val="19033C07"/>
    <w:rsid w:val="191A5268"/>
    <w:rsid w:val="197F0D77"/>
    <w:rsid w:val="19CD63C6"/>
    <w:rsid w:val="19E60ED9"/>
    <w:rsid w:val="1A354442"/>
    <w:rsid w:val="1A635402"/>
    <w:rsid w:val="1A7E0086"/>
    <w:rsid w:val="1B4A1840"/>
    <w:rsid w:val="1C0A26F1"/>
    <w:rsid w:val="1C2F61BB"/>
    <w:rsid w:val="1D3303CB"/>
    <w:rsid w:val="1D5E23B0"/>
    <w:rsid w:val="1E9F114A"/>
    <w:rsid w:val="1EFC5D44"/>
    <w:rsid w:val="1F4D2FED"/>
    <w:rsid w:val="1F831A01"/>
    <w:rsid w:val="1FE57F70"/>
    <w:rsid w:val="20CB5884"/>
    <w:rsid w:val="21C05965"/>
    <w:rsid w:val="22165901"/>
    <w:rsid w:val="222076FD"/>
    <w:rsid w:val="226F3A12"/>
    <w:rsid w:val="2599190B"/>
    <w:rsid w:val="273A5DF3"/>
    <w:rsid w:val="27C22689"/>
    <w:rsid w:val="282848AC"/>
    <w:rsid w:val="298E38FB"/>
    <w:rsid w:val="2A453618"/>
    <w:rsid w:val="2B5B6A5C"/>
    <w:rsid w:val="2BD90319"/>
    <w:rsid w:val="2BE64E94"/>
    <w:rsid w:val="2C4209CD"/>
    <w:rsid w:val="2DE81C59"/>
    <w:rsid w:val="2E5A4625"/>
    <w:rsid w:val="2EF86D35"/>
    <w:rsid w:val="2F015C15"/>
    <w:rsid w:val="2F6900BA"/>
    <w:rsid w:val="2F8E192F"/>
    <w:rsid w:val="30C17D09"/>
    <w:rsid w:val="316534C6"/>
    <w:rsid w:val="31752D65"/>
    <w:rsid w:val="31C657F6"/>
    <w:rsid w:val="329C598E"/>
    <w:rsid w:val="32AB4FF2"/>
    <w:rsid w:val="331279F4"/>
    <w:rsid w:val="33494F39"/>
    <w:rsid w:val="338A2EE4"/>
    <w:rsid w:val="33E71B9E"/>
    <w:rsid w:val="34C04ECD"/>
    <w:rsid w:val="358055D2"/>
    <w:rsid w:val="36255553"/>
    <w:rsid w:val="373D6F5A"/>
    <w:rsid w:val="37D1267F"/>
    <w:rsid w:val="38E946AA"/>
    <w:rsid w:val="39024716"/>
    <w:rsid w:val="398D328B"/>
    <w:rsid w:val="399747F3"/>
    <w:rsid w:val="39B66A86"/>
    <w:rsid w:val="3AB47290"/>
    <w:rsid w:val="3B2C087E"/>
    <w:rsid w:val="3B983469"/>
    <w:rsid w:val="3BC77A62"/>
    <w:rsid w:val="3BE11BAF"/>
    <w:rsid w:val="3C207B6D"/>
    <w:rsid w:val="3D29480A"/>
    <w:rsid w:val="3D720006"/>
    <w:rsid w:val="3D910DE5"/>
    <w:rsid w:val="3DA11A65"/>
    <w:rsid w:val="3DEC3238"/>
    <w:rsid w:val="3E1A7D70"/>
    <w:rsid w:val="3E8F46D4"/>
    <w:rsid w:val="3F1F57B2"/>
    <w:rsid w:val="40637FE7"/>
    <w:rsid w:val="409E5A85"/>
    <w:rsid w:val="417C1A36"/>
    <w:rsid w:val="42E85542"/>
    <w:rsid w:val="43714173"/>
    <w:rsid w:val="449E0157"/>
    <w:rsid w:val="455377B2"/>
    <w:rsid w:val="45553FC8"/>
    <w:rsid w:val="46A223AE"/>
    <w:rsid w:val="47073D66"/>
    <w:rsid w:val="478913AE"/>
    <w:rsid w:val="483B7AB0"/>
    <w:rsid w:val="48485630"/>
    <w:rsid w:val="485908AD"/>
    <w:rsid w:val="489F2977"/>
    <w:rsid w:val="491E0BBC"/>
    <w:rsid w:val="4927709B"/>
    <w:rsid w:val="4A1E1CDA"/>
    <w:rsid w:val="4B862C75"/>
    <w:rsid w:val="4C95759A"/>
    <w:rsid w:val="4DAD0FB8"/>
    <w:rsid w:val="4E3700AD"/>
    <w:rsid w:val="4EB47674"/>
    <w:rsid w:val="4EB723DB"/>
    <w:rsid w:val="4EF26392"/>
    <w:rsid w:val="4F1004C9"/>
    <w:rsid w:val="4FD304DF"/>
    <w:rsid w:val="5008113C"/>
    <w:rsid w:val="50812612"/>
    <w:rsid w:val="50FB650C"/>
    <w:rsid w:val="517B3727"/>
    <w:rsid w:val="51E90A3D"/>
    <w:rsid w:val="52846C9B"/>
    <w:rsid w:val="52D93A92"/>
    <w:rsid w:val="52E3732A"/>
    <w:rsid w:val="533D58D6"/>
    <w:rsid w:val="53A30B07"/>
    <w:rsid w:val="53BB5A7C"/>
    <w:rsid w:val="55283611"/>
    <w:rsid w:val="55660642"/>
    <w:rsid w:val="556A36E8"/>
    <w:rsid w:val="56050BA7"/>
    <w:rsid w:val="574450E7"/>
    <w:rsid w:val="578C758D"/>
    <w:rsid w:val="57D9421A"/>
    <w:rsid w:val="58264D0E"/>
    <w:rsid w:val="58784EE1"/>
    <w:rsid w:val="58FA692E"/>
    <w:rsid w:val="5928668F"/>
    <w:rsid w:val="5A8F6848"/>
    <w:rsid w:val="5BAE59CA"/>
    <w:rsid w:val="5D305306"/>
    <w:rsid w:val="5DE40F0B"/>
    <w:rsid w:val="5E542552"/>
    <w:rsid w:val="5FB43CC7"/>
    <w:rsid w:val="6096607C"/>
    <w:rsid w:val="619C4E8A"/>
    <w:rsid w:val="61AF4823"/>
    <w:rsid w:val="61B04156"/>
    <w:rsid w:val="6265271C"/>
    <w:rsid w:val="64A54D6A"/>
    <w:rsid w:val="65782D94"/>
    <w:rsid w:val="65A53CC7"/>
    <w:rsid w:val="669A4315"/>
    <w:rsid w:val="669F2D9B"/>
    <w:rsid w:val="67634DE5"/>
    <w:rsid w:val="682331DB"/>
    <w:rsid w:val="682A7573"/>
    <w:rsid w:val="68F93583"/>
    <w:rsid w:val="6A017676"/>
    <w:rsid w:val="6D113464"/>
    <w:rsid w:val="6E5B50F0"/>
    <w:rsid w:val="6E996352"/>
    <w:rsid w:val="6F3858B0"/>
    <w:rsid w:val="6F6F53EE"/>
    <w:rsid w:val="722509AC"/>
    <w:rsid w:val="72D23653"/>
    <w:rsid w:val="736412DB"/>
    <w:rsid w:val="736F7056"/>
    <w:rsid w:val="73A5050C"/>
    <w:rsid w:val="73B9469D"/>
    <w:rsid w:val="74DE384D"/>
    <w:rsid w:val="77135D95"/>
    <w:rsid w:val="77E0256E"/>
    <w:rsid w:val="77E831E5"/>
    <w:rsid w:val="78C824A1"/>
    <w:rsid w:val="792B056D"/>
    <w:rsid w:val="79827981"/>
    <w:rsid w:val="79CC25E4"/>
    <w:rsid w:val="79FE36B7"/>
    <w:rsid w:val="7A047063"/>
    <w:rsid w:val="7A982785"/>
    <w:rsid w:val="7BBC3443"/>
    <w:rsid w:val="7BF64376"/>
    <w:rsid w:val="7D181B88"/>
    <w:rsid w:val="7D34031E"/>
    <w:rsid w:val="7D445D45"/>
    <w:rsid w:val="7D7A63BF"/>
    <w:rsid w:val="7E933016"/>
    <w:rsid w:val="7EA4213C"/>
    <w:rsid w:val="7F750A39"/>
    <w:rsid w:val="7FEE5092"/>
  </w:rsids>
  <m:mathPr>
    <m:mathFont m:val="Cambria Math"/>
    <m:brkBin m:val="before"/>
    <m:brkBinSub m:val="--"/>
    <m:smallFrac m:val="1"/>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Body Text Indent"/>
    <w:basedOn w:val="1"/>
    <w:qFormat/>
    <w:uiPriority w:val="0"/>
    <w:pPr>
      <w:adjustRightInd w:val="0"/>
      <w:snapToGrid w:val="0"/>
      <w:spacing w:line="360" w:lineRule="auto"/>
      <w:ind w:firstLine="420"/>
      <w:textAlignment w:val="baseline"/>
    </w:pPr>
    <w:rPr>
      <w:rFonts w:ascii="仿宋_GB2312" w:eastAsia="仿宋_GB2312"/>
      <w:kern w:val="0"/>
      <w:sz w:val="24"/>
    </w:rPr>
  </w:style>
  <w:style w:type="paragraph" w:styleId="4">
    <w:name w:val="Balloon Text"/>
    <w:basedOn w:val="1"/>
    <w:qFormat/>
    <w:uiPriority w:val="0"/>
    <w:rPr>
      <w:sz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0000FF"/>
      <w:u w:val="single"/>
    </w:rPr>
  </w:style>
  <w:style w:type="paragraph" w:customStyle="1" w:styleId="11">
    <w:name w:val="Char"/>
    <w:basedOn w:val="1"/>
    <w:qFormat/>
    <w:uiPriority w:val="0"/>
    <w:pPr>
      <w:numPr>
        <w:ilvl w:val="0"/>
        <w:numId w:val="1"/>
      </w:numPr>
    </w:pPr>
    <w:rPr>
      <w:sz w:val="24"/>
    </w:rPr>
  </w:style>
  <w:style w:type="paragraph" w:customStyle="1" w:styleId="12">
    <w:name w:val="Char1"/>
    <w:basedOn w:val="1"/>
    <w:qFormat/>
    <w:uiPriority w:val="0"/>
    <w:pPr>
      <w:numPr>
        <w:ilvl w:val="0"/>
        <w:numId w:val="2"/>
      </w:numPr>
    </w:pPr>
  </w:style>
  <w:style w:type="character" w:customStyle="1" w:styleId="13">
    <w:name w:val="页脚 字符"/>
    <w:link w:val="5"/>
    <w:qFormat/>
    <w:uiPriority w:val="99"/>
    <w:rPr>
      <w:kern w:val="2"/>
      <w:sz w:val="18"/>
    </w:rPr>
  </w:style>
  <w:style w:type="character" w:customStyle="1" w:styleId="14">
    <w:name w:val="Char Char"/>
    <w:qFormat/>
    <w:uiPriority w:val="0"/>
    <w:rPr>
      <w:rFonts w:eastAsia="宋体"/>
      <w:kern w:val="2"/>
      <w:sz w:val="18"/>
      <w:lang w:val="en-US" w:eastAsia="zh-CN"/>
    </w:rPr>
  </w:style>
  <w:style w:type="character" w:customStyle="1" w:styleId="15">
    <w:name w:val="Font Style99"/>
    <w:qFormat/>
    <w:uiPriority w:val="0"/>
    <w:rPr>
      <w:rFonts w:ascii="黑体" w:eastAsia="黑体" w:cs="黑体"/>
      <w:sz w:val="20"/>
      <w:szCs w:val="20"/>
    </w:rPr>
  </w:style>
  <w:style w:type="character" w:customStyle="1" w:styleId="16">
    <w:name w:val="页眉 字符"/>
    <w:link w:val="6"/>
    <w:qFormat/>
    <w:uiPriority w:val="99"/>
    <w:rPr>
      <w:kern w:val="2"/>
      <w:sz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2116</Words>
  <Characters>2493</Characters>
  <Lines>23</Lines>
  <Paragraphs>6</Paragraphs>
  <TotalTime>8</TotalTime>
  <ScaleCrop>false</ScaleCrop>
  <LinksUpToDate>false</LinksUpToDate>
  <CharactersWithSpaces>2571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2019-03-14T07:26:00Z</dcterms:created>
  <dc:creator>ctcjw</dc:creator>
  <cp:lastModifiedBy>杨子林</cp:lastModifiedBy>
  <cp:lastPrinted>2010-12-27T06:36:00Z</cp:lastPrinted>
  <dcterms:modified xsi:type="dcterms:W3CDTF">2022-10-16T03:18:24Z</dcterms:modified>
  <dc:title>审 核 计 划(二阶段/监督/再认证/其他)</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4657A50C777D459F8EEA75C83B656D07</vt:lpwstr>
  </property>
</Properties>
</file>