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0172-2019-202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</w:t>
      </w:r>
    </w:p>
    <w:tbl>
      <w:tblPr>
        <w:tblStyle w:val="7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34"/>
        <w:gridCol w:w="1092"/>
        <w:gridCol w:w="1164"/>
        <w:gridCol w:w="2096"/>
        <w:gridCol w:w="1456"/>
        <w:gridCol w:w="97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宁波喜悦智行科技股份有限公司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JOY-058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00mm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MPE: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125~500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sz w:val="18"/>
                <w:szCs w:val="18"/>
              </w:rPr>
              <w:t>四等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;量块（10~291.8）mm五等3级； 数显外径千分尺（0~25）mm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-1-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注塑车间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016998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KF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-30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>MPE:</w:t>
            </w:r>
            <w:r>
              <w:rPr>
                <w:rFonts w:hint="eastAsia"/>
                <w:lang w:val="en-US" w:eastAsia="zh-CN"/>
              </w:rPr>
              <w:t>±5g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M1</w:t>
            </w:r>
            <w:r>
              <w:rPr>
                <w:rFonts w:hint="eastAsia"/>
                <w:sz w:val="18"/>
                <w:szCs w:val="18"/>
              </w:rPr>
              <w:t xml:space="preserve">、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</w:rPr>
              <w:t>2等级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2022-9-29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JOY-014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XK-3190-A9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MPE: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500g</w:t>
            </w:r>
          </w:p>
        </w:tc>
        <w:tc>
          <w:tcPr>
            <w:tcW w:w="209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M1</w:t>
            </w:r>
            <w:r>
              <w:rPr>
                <w:rFonts w:hint="eastAsia"/>
                <w:sz w:val="18"/>
                <w:szCs w:val="18"/>
              </w:rPr>
              <w:t xml:space="preserve">、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</w:rPr>
              <w:t>2等级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2022-9-29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17070826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（0~1.6）MPa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0.4级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慈溪市质量技术监督检验检测服务中心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-9-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表面电阻测试仪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100057723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VC385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Urel=3.0%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0.2级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2022-9-29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三坐标测量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A21051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Daisy10128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MPE: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0.001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125~500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mm三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1级;量块（600~1000）mm四等； 量块（0.5~100）mm三等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2022-9-29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斜面冲击试验机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JOY-065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2000kg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MPE: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kg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标准测力仪0.3级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2022-9-29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18012348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ZC25B-4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数字高压表DCV:U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=0.16%</w:t>
            </w:r>
            <w:r>
              <w:rPr>
                <w:sz w:val="18"/>
                <w:szCs w:val="18"/>
              </w:rPr>
              <w:t>,k=2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ACV:U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=0.33%</w:t>
            </w:r>
            <w:r>
              <w:rPr>
                <w:sz w:val="18"/>
                <w:szCs w:val="18"/>
              </w:rPr>
              <w:t>,k=2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兆欧表检定装置0.2级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2022-9-29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公司已制定《计量确认管理程序》、《外部供方管理程序》，《测量设备溯源管理程序》，测量设备由品质部负责溯源。公司测量设备全部委托慈溪市质量技术监督检验检测服务中心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广东中准检测有限公司检定/校准，校准/检定证书由品质部保存。根据抽查情况，该公司的校准情况符合溯源性要求。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256540</wp:posOffset>
                  </wp:positionV>
                  <wp:extent cx="953770" cy="427990"/>
                  <wp:effectExtent l="0" t="0" r="0" b="13970"/>
                  <wp:wrapNone/>
                  <wp:docPr id="4" name="图片 4" descr="365f014a96fea83c7e280ba70f7f0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65f014a96fea83c7e280ba70f7f0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81280</wp:posOffset>
                  </wp:positionV>
                  <wp:extent cx="718185" cy="5880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09" cy="58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年10月 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6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DD7F6C"/>
    <w:rsid w:val="001D0623"/>
    <w:rsid w:val="00473D9D"/>
    <w:rsid w:val="004F61F2"/>
    <w:rsid w:val="0070239B"/>
    <w:rsid w:val="00716081"/>
    <w:rsid w:val="00784D5C"/>
    <w:rsid w:val="007B2EAC"/>
    <w:rsid w:val="00A7732A"/>
    <w:rsid w:val="00DD7F6C"/>
    <w:rsid w:val="00EB0D78"/>
    <w:rsid w:val="158C1CB8"/>
    <w:rsid w:val="1D5320E5"/>
    <w:rsid w:val="219812F3"/>
    <w:rsid w:val="34E92338"/>
    <w:rsid w:val="357A6FE2"/>
    <w:rsid w:val="3F4F6517"/>
    <w:rsid w:val="54A82F66"/>
    <w:rsid w:val="550629E0"/>
    <w:rsid w:val="5EBB7641"/>
    <w:rsid w:val="673B27BB"/>
    <w:rsid w:val="76BA404D"/>
    <w:rsid w:val="7DD6351C"/>
    <w:rsid w:val="7EA33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651</Words>
  <Characters>973</Characters>
  <Lines>7</Lines>
  <Paragraphs>1</Paragraphs>
  <TotalTime>0</TotalTime>
  <ScaleCrop>false</ScaleCrop>
  <LinksUpToDate>false</LinksUpToDate>
  <CharactersWithSpaces>1015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杨子林</cp:lastModifiedBy>
  <dcterms:modified xsi:type="dcterms:W3CDTF">2022-10-15T23:33:16Z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FF85C5DC05A44744A437409D93ADE6C4</vt:lpwstr>
  </property>
</Properties>
</file>