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rFonts w:hint="eastAsia" w:ascii="楷体" w:hAnsi="楷体" w:eastAsia="楷体"/>
          <w:color w:val="000000"/>
          <w:sz w:val="28"/>
          <w:szCs w:val="28"/>
        </w:rPr>
        <w:t>0</w:t>
      </w:r>
      <w:r>
        <w:rPr>
          <w:rFonts w:hint="eastAsia" w:ascii="楷体" w:hAnsi="楷体" w:eastAsia="楷体"/>
          <w:color w:val="000000"/>
          <w:sz w:val="28"/>
          <w:szCs w:val="28"/>
          <w:lang w:val="en-US" w:eastAsia="zh-CN"/>
        </w:rPr>
        <w:t>009</w:t>
      </w:r>
      <w:r>
        <w:rPr>
          <w:rFonts w:hint="eastAsia" w:ascii="楷体" w:hAnsi="楷体" w:eastAsia="楷体"/>
          <w:color w:val="000000"/>
          <w:sz w:val="28"/>
          <w:szCs w:val="28"/>
        </w:rPr>
        <w:t>-20</w:t>
      </w:r>
      <w:r>
        <w:rPr>
          <w:rFonts w:hint="eastAsia" w:ascii="楷体" w:hAnsi="楷体" w:eastAsia="楷体"/>
          <w:color w:val="000000"/>
          <w:sz w:val="28"/>
          <w:szCs w:val="28"/>
          <w:lang w:val="en-US" w:eastAsia="zh-CN"/>
        </w:rPr>
        <w:t>20</w:t>
      </w:r>
      <w:r>
        <w:rPr>
          <w:rFonts w:hint="eastAsia" w:ascii="楷体" w:hAnsi="楷体" w:eastAsia="楷体"/>
          <w:color w:val="000000"/>
          <w:sz w:val="28"/>
          <w:szCs w:val="28"/>
        </w:rPr>
        <w:t>-E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河北腾飞通讯器材有限公司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723"/>
        <w:gridCol w:w="271"/>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231"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980"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723" w:type="dxa"/>
            <w:vAlign w:val="center"/>
          </w:tcPr>
          <w:p>
            <w:pPr>
              <w:rPr>
                <w:b/>
                <w:color w:val="000000"/>
                <w:sz w:val="20"/>
                <w:szCs w:val="20"/>
              </w:rPr>
            </w:pPr>
            <w:r>
              <w:rPr>
                <w:rFonts w:hint="eastAsia"/>
                <w:b/>
                <w:color w:val="000000"/>
                <w:sz w:val="20"/>
                <w:szCs w:val="20"/>
              </w:rPr>
              <w:t>邮箱</w:t>
            </w:r>
          </w:p>
        </w:tc>
        <w:tc>
          <w:tcPr>
            <w:tcW w:w="2450"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4"/>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rFonts w:hint="eastAsia" w:eastAsia="宋体"/>
                <w:b/>
                <w:color w:val="000000"/>
                <w:sz w:val="20"/>
                <w:szCs w:val="20"/>
                <w:lang w:eastAsia="zh-CN"/>
              </w:rPr>
            </w:pPr>
            <w:r>
              <w:rPr>
                <w:rFonts w:hint="eastAsia"/>
                <w:b/>
                <w:color w:val="000000"/>
                <w:sz w:val="20"/>
                <w:szCs w:val="20"/>
                <w:lang w:eastAsia="zh-CN"/>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rFonts w:hint="eastAsia" w:eastAsia="宋体"/>
                <w:b/>
                <w:color w:val="000000"/>
                <w:lang w:val="en-US" w:eastAsia="zh-CN"/>
              </w:rPr>
            </w:pPr>
          </w:p>
        </w:tc>
        <w:tc>
          <w:tcPr>
            <w:tcW w:w="1417" w:type="dxa"/>
            <w:gridSpan w:val="2"/>
            <w:vAlign w:val="center"/>
          </w:tcPr>
          <w:p>
            <w:pPr>
              <w:rPr>
                <w:rFonts w:hint="eastAsia" w:eastAsia="宋体"/>
                <w:b/>
                <w:color w:val="000000"/>
                <w:lang w:val="en-US" w:eastAsia="zh-CN"/>
              </w:rPr>
            </w:pPr>
          </w:p>
        </w:tc>
        <w:tc>
          <w:tcPr>
            <w:tcW w:w="3402" w:type="dxa"/>
            <w:gridSpan w:val="4"/>
            <w:vAlign w:val="center"/>
          </w:tcPr>
          <w:p>
            <w:pPr>
              <w:rPr>
                <w:rFonts w:hint="eastAsia" w:eastAsia="宋体"/>
                <w:b/>
                <w:color w:val="000000"/>
                <w:lang w:eastAsia="zh-CN"/>
              </w:rPr>
            </w:pPr>
          </w:p>
        </w:tc>
        <w:tc>
          <w:tcPr>
            <w:tcW w:w="2179" w:type="dxa"/>
            <w:gridSpan w:val="2"/>
            <w:vAlign w:val="center"/>
          </w:tcPr>
          <w:p>
            <w:pPr>
              <w:rPr>
                <w:b/>
                <w:color w:val="000000"/>
              </w:rPr>
            </w:pPr>
          </w:p>
        </w:tc>
      </w:tr>
    </w:tbl>
    <w:p>
      <w:pPr>
        <w:spacing w:line="300" w:lineRule="auto"/>
        <w:ind w:firstLine="245" w:firstLineChars="100"/>
        <w:rPr>
          <w:rFonts w:hint="eastAsia" w:ascii="宋体" w:hAnsi="宋体"/>
          <w:b/>
          <w:color w:val="000000"/>
          <w:spacing w:val="-8"/>
          <w:sz w:val="26"/>
          <w:szCs w:val="26"/>
        </w:rPr>
      </w:pPr>
      <w:r>
        <w:rPr>
          <w:rFonts w:hint="eastAsia" w:ascii="宋体" w:hAnsi="宋体"/>
          <w:b/>
          <w:color w:val="000000"/>
          <w:spacing w:val="-8"/>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环境管理体系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45" w:firstLineChars="100"/>
        <w:rPr>
          <w:rFonts w:ascii="宋体"/>
          <w:b/>
          <w:color w:val="000000"/>
          <w:sz w:val="20"/>
          <w:szCs w:val="20"/>
        </w:rPr>
      </w:pPr>
      <w:r>
        <w:rPr>
          <w:rFonts w:hint="eastAsia" w:ascii="宋体" w:hAnsi="宋体"/>
          <w:b/>
          <w:color w:val="000000"/>
          <w:spacing w:val="-8"/>
          <w:sz w:val="26"/>
          <w:szCs w:val="26"/>
        </w:rPr>
        <w:t>三、审核准则</w:t>
      </w:r>
    </w:p>
    <w:p>
      <w:pPr>
        <w:spacing w:line="300" w:lineRule="auto"/>
        <w:ind w:left="420" w:leftChars="200"/>
        <w:rPr>
          <w:rFonts w:ascii="宋体"/>
          <w:b/>
          <w:color w:val="000000"/>
          <w:sz w:val="20"/>
          <w:szCs w:val="20"/>
          <w:lang w:val="de-DE"/>
        </w:rPr>
      </w:pPr>
      <w:bookmarkStart w:id="5" w:name="E勾选Add1"/>
      <w:r>
        <w:rPr>
          <w:rFonts w:hint="eastAsia" w:ascii="宋体" w:hAnsi="宋体"/>
          <w:b/>
          <w:color w:val="000000"/>
          <w:sz w:val="20"/>
          <w:szCs w:val="20"/>
          <w:lang w:val="de-DE"/>
        </w:rPr>
        <w:t>■</w:t>
      </w:r>
      <w:bookmarkEnd w:id="5"/>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814"/>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eastAsia="宋体"/>
                <w:b/>
                <w:color w:val="000000"/>
                <w:sz w:val="20"/>
                <w:szCs w:val="20"/>
                <w:lang w:eastAsia="zh-CN"/>
              </w:rPr>
            </w:pPr>
            <w:r>
              <w:rPr>
                <w:rFonts w:hint="eastAsia" w:ascii="宋体"/>
                <w:b/>
                <w:color w:val="000000"/>
                <w:sz w:val="20"/>
                <w:szCs w:val="20"/>
                <w:lang w:eastAsia="zh-CN"/>
              </w:rPr>
              <w:t>河北腾飞通讯器材有限公司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注册地址</w:t>
            </w:r>
          </w:p>
        </w:tc>
        <w:tc>
          <w:tcPr>
            <w:tcW w:w="4692"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rFonts w:asciiTheme="minorEastAsia" w:hAnsiTheme="minorEastAsia" w:eastAsiaTheme="minorEastAsia"/>
                <w:sz w:val="20"/>
              </w:rPr>
              <w:t>任丘市麻家坞镇南马庄</w:t>
            </w:r>
          </w:p>
        </w:tc>
        <w:tc>
          <w:tcPr>
            <w:tcW w:w="814"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邮编</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p>
        </w:tc>
        <w:tc>
          <w:tcPr>
            <w:tcW w:w="1986"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sz w:val="21"/>
                <w:szCs w:val="21"/>
              </w:rP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经营地址</w:t>
            </w:r>
          </w:p>
        </w:tc>
        <w:tc>
          <w:tcPr>
            <w:tcW w:w="4692"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bookmarkStart w:id="6" w:name="经营地址"/>
            <w:bookmarkEnd w:id="6"/>
            <w:r>
              <w:rPr>
                <w:rFonts w:asciiTheme="minorEastAsia" w:hAnsiTheme="minorEastAsia" w:eastAsiaTheme="minorEastAsia"/>
                <w:sz w:val="20"/>
              </w:rPr>
              <w:t>任丘市麻家坞镇南马庄</w:t>
            </w:r>
          </w:p>
        </w:tc>
        <w:tc>
          <w:tcPr>
            <w:tcW w:w="81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p>
        </w:tc>
        <w:tc>
          <w:tcPr>
            <w:tcW w:w="1986"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color w:val="000000"/>
                <w:kern w:val="2"/>
                <w:sz w:val="20"/>
                <w:szCs w:val="20"/>
                <w:lang w:val="en-US" w:eastAsia="zh-CN" w:bidi="ar-SA"/>
              </w:rPr>
            </w:pPr>
            <w:bookmarkStart w:id="7" w:name="经营邮编"/>
            <w:bookmarkEnd w:id="7"/>
            <w:r>
              <w:rPr>
                <w:sz w:val="21"/>
                <w:szCs w:val="21"/>
              </w:rP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联系人</w:t>
            </w:r>
          </w:p>
        </w:tc>
        <w:tc>
          <w:tcPr>
            <w:tcW w:w="104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sz w:val="21"/>
                <w:szCs w:val="21"/>
              </w:rPr>
              <w:t>马增杰</w:t>
            </w:r>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电话</w:t>
            </w:r>
          </w:p>
        </w:tc>
        <w:tc>
          <w:tcPr>
            <w:tcW w:w="2180"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sz w:val="21"/>
                <w:szCs w:val="21"/>
              </w:rPr>
              <w:t>13127383444</w:t>
            </w:r>
          </w:p>
        </w:tc>
        <w:tc>
          <w:tcPr>
            <w:tcW w:w="8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传真</w:t>
            </w:r>
          </w:p>
        </w:tc>
        <w:tc>
          <w:tcPr>
            <w:tcW w:w="1986"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bookmarkStart w:id="8" w:name="联系人传真Add1"/>
            <w:bookmarkEnd w:id="8"/>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sz w:val="21"/>
                <w:szCs w:val="21"/>
              </w:rPr>
              <w:t>马增杰</w:t>
            </w:r>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管理者代表</w:t>
            </w:r>
          </w:p>
        </w:tc>
        <w:tc>
          <w:tcPr>
            <w:tcW w:w="2180"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sz w:val="21"/>
                <w:szCs w:val="21"/>
              </w:rPr>
              <w:t>马增杰</w:t>
            </w:r>
          </w:p>
        </w:tc>
        <w:tc>
          <w:tcPr>
            <w:tcW w:w="814"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b/>
                <w:color w:val="000000"/>
                <w:sz w:val="20"/>
                <w:szCs w:val="20"/>
              </w:rPr>
              <w:t>邮箱</w:t>
            </w:r>
          </w:p>
        </w:tc>
        <w:tc>
          <w:tcPr>
            <w:tcW w:w="1986"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sz w:val="18"/>
                <w:szCs w:val="18"/>
              </w:rPr>
              <w:t>406177131@</w:t>
            </w:r>
            <w:r>
              <w:rPr>
                <w:rFonts w:hint="eastAsia"/>
                <w:sz w:val="18"/>
                <w:szCs w:val="18"/>
                <w:lang w:val="en-US" w:eastAsia="zh-CN"/>
              </w:rPr>
              <w:t>qq</w:t>
            </w:r>
            <w:r>
              <w:rPr>
                <w:rFonts w:hint="eastAsia"/>
                <w:sz w:val="18"/>
                <w:szCs w:val="18"/>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b/>
                <w:color w:val="000000"/>
                <w:sz w:val="20"/>
                <w:szCs w:val="20"/>
                <w:lang w:val="en-US" w:eastAsia="zh-CN"/>
              </w:rPr>
              <w:t>2019年9月1日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u w:val="single"/>
                <w:lang w:eastAsia="zh-CN"/>
              </w:rPr>
            </w:pPr>
            <w:r>
              <w:rPr>
                <w:rFonts w:hint="eastAsia" w:ascii="宋体" w:hAnsi="宋体"/>
                <w:szCs w:val="21"/>
                <w:lang w:eastAsia="zh-CN"/>
              </w:rPr>
              <w:t>线路铁附件、电力金具、井具、标识标牌、塑料管材、钢绞线、油木杆、水泥制品、电力拉线护套、高低压电器的销售及其场所所涉及的环境管理活动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b/>
                <w:color w:val="000000"/>
                <w:sz w:val="20"/>
                <w:szCs w:val="20"/>
                <w:lang w:eastAsia="zh-CN"/>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b/>
                <w:color w:val="000000"/>
                <w:sz w:val="20"/>
                <w:szCs w:val="20"/>
                <w:lang w:val="en-US" w:eastAsia="zh-CN"/>
              </w:rPr>
              <w:t>无</w:t>
            </w:r>
          </w:p>
        </w:tc>
      </w:tr>
    </w:tbl>
    <w:p>
      <w:pPr>
        <w:snapToGrid w:val="0"/>
        <w:spacing w:before="156" w:beforeLines="50"/>
        <w:ind w:firstLine="282" w:firstLineChars="115"/>
        <w:rPr>
          <w:rFonts w:hint="eastAsia" w:ascii="宋体" w:hAnsi="宋体"/>
          <w:b/>
          <w:color w:val="000000"/>
          <w:spacing w:val="-8"/>
          <w:sz w:val="26"/>
          <w:szCs w:val="26"/>
        </w:rPr>
      </w:pPr>
    </w:p>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办公室、供销部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办公区域</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szCs w:val="21"/>
              </w:rPr>
              <w:t>线路铁附件、电力金具、井具、标识标牌、塑料管材、钢绞线、油木杆、水泥制品、电力拉线护套、高低压电器的销售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管理层、办公室、供销部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ascii="宋体"/>
                <w:b/>
                <w:color w:val="000000"/>
                <w:sz w:val="20"/>
                <w:szCs w:val="20"/>
              </w:rPr>
            </w:pPr>
            <w:r>
              <w:rPr>
                <w:rFonts w:hint="eastAsia" w:ascii="宋体" w:hAnsi="宋体"/>
                <w:b/>
                <w:color w:val="000000"/>
                <w:sz w:val="20"/>
                <w:szCs w:val="20"/>
              </w:rPr>
              <w:t>客户的场所：</w:t>
            </w:r>
            <w:r>
              <w:t>任丘市麻家坞镇南马庄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受审核方位于：</w:t>
            </w:r>
            <w:r>
              <w:t>任丘市麻家坞镇南马庄</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环境执行标准：</w:t>
            </w:r>
            <w:r>
              <w:rPr>
                <w:rFonts w:hint="eastAsia"/>
                <w:sz w:val="21"/>
                <w:szCs w:val="21"/>
                <w:u w:val="none"/>
              </w:rPr>
              <w:t>GB3095-2012《环境空气质量标准》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ascii="宋体"/>
                <w:color w:val="000000"/>
                <w:sz w:val="20"/>
                <w:szCs w:val="20"/>
                <w:lang w:val="en-US" w:eastAsia="zh-CN"/>
              </w:rPr>
              <w:t>固废的排放、火灾的发生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after="62" w:afterLines="20" w:line="360" w:lineRule="exact"/>
        <w:ind w:firstLine="257" w:firstLineChars="100"/>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办公室/供销部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了解内审结论是什么？</w:t>
            </w:r>
            <w:r>
              <w:rPr>
                <w:rFonts w:hint="eastAsia"/>
                <w:sz w:val="21"/>
                <w:szCs w:val="21"/>
              </w:rPr>
              <w:t>公司的</w:t>
            </w:r>
            <w:r>
              <w:rPr>
                <w:rFonts w:hint="eastAsia"/>
                <w:sz w:val="21"/>
                <w:szCs w:val="21"/>
                <w:lang w:val="en-US" w:eastAsia="zh-CN"/>
              </w:rPr>
              <w:t>环境</w:t>
            </w:r>
            <w:r>
              <w:rPr>
                <w:rFonts w:hint="eastAsia"/>
                <w:sz w:val="21"/>
                <w:szCs w:val="21"/>
              </w:rPr>
              <w:t>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rPr>
          <w:rFonts w:hint="eastAsia" w:ascii="宋体" w:eastAsia="宋体"/>
          <w:b/>
          <w:color w:val="000000"/>
          <w:sz w:val="20"/>
          <w:szCs w:val="20"/>
          <w:lang w:eastAsia="zh-CN"/>
        </w:rPr>
      </w:pPr>
      <w:r>
        <w:rPr>
          <w:rFonts w:hint="eastAsia" w:ascii="宋体" w:hAnsi="宋体"/>
          <w:szCs w:val="21"/>
          <w:lang w:eastAsia="zh-CN"/>
        </w:rPr>
        <w:t>线路铁附件、电力金具、井具、标识标牌、塑料管材、钢绞线、油木杆、水泥制品、电力拉线护套、高低压电器的销售及其场所所涉及的环境管理活动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吉洁</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2019.12.31</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 xml:space="preserve">      </w:t>
            </w:r>
            <w:bookmarkStart w:id="9" w:name="_GoBack"/>
            <w:bookmarkEnd w:id="9"/>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B50EEA"/>
    <w:rsid w:val="43CF42E2"/>
    <w:rsid w:val="5ADC77D7"/>
    <w:rsid w:val="65636D3B"/>
    <w:rsid w:val="6F595B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5609</Words>
  <Characters>5862</Characters>
  <Lines>48</Lines>
  <Paragraphs>13</Paragraphs>
  <TotalTime>2</TotalTime>
  <ScaleCrop>false</ScaleCrop>
  <LinksUpToDate>false</LinksUpToDate>
  <CharactersWithSpaces>6005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2020-02-04T06:12:15Z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