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0618-2020-Q-2022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北京东方远创化工有限责任公司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李蒙生</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911103041028024183</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Q:未认可,E:认可,O:未认可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19001-2016 idt ISO 9001:2015标准 (不适用：  条款)</w:t>
            </w:r>
          </w:p>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50430-2017 (不适用：  条款)；</w:t>
            </w:r>
          </w:p>
          <w:p>
            <w:pPr>
              <w:snapToGrid w:val="0"/>
              <w:spacing w:line="0" w:lineRule="atLeast"/>
              <w:jc w:val="left"/>
              <w:rPr>
                <w:sz w:val="22"/>
                <w:szCs w:val="22"/>
              </w:rPr>
            </w:pPr>
            <w:bookmarkStart w:id="6" w:name="E勾选"/>
            <w:r>
              <w:rPr>
                <w:rFonts w:hint="eastAsia"/>
                <w:sz w:val="22"/>
                <w:szCs w:val="22"/>
              </w:rPr>
              <w:t>■</w:t>
            </w:r>
            <w:bookmarkEnd w:id="6"/>
            <w:r>
              <w:rPr>
                <w:rFonts w:hint="eastAsia"/>
                <w:sz w:val="22"/>
                <w:szCs w:val="22"/>
              </w:rPr>
              <w:t xml:space="preserve"> GB/T 24001-2016 idt ISO 14001:2015标准；</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45001:2018标准；</w:t>
            </w:r>
          </w:p>
          <w:p>
            <w:pPr>
              <w:snapToGrid w:val="0"/>
              <w:spacing w:line="0" w:lineRule="atLeast"/>
              <w:jc w:val="left"/>
              <w:rPr>
                <w:sz w:val="22"/>
                <w:szCs w:val="22"/>
              </w:rPr>
            </w:pPr>
            <w:bookmarkStart w:id="8" w:name="EnMS勾选"/>
            <w:r>
              <w:rPr>
                <w:rFonts w:hint="eastAsia"/>
                <w:sz w:val="22"/>
                <w:szCs w:val="22"/>
              </w:rPr>
              <w:t>□</w:t>
            </w:r>
            <w:bookmarkEnd w:id="8"/>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22000-2018</w:t>
            </w:r>
          </w:p>
          <w:p>
            <w:pPr>
              <w:snapToGrid w:val="0"/>
              <w:spacing w:line="0" w:lineRule="atLeast"/>
              <w:jc w:val="left"/>
              <w:rPr>
                <w:sz w:val="22"/>
                <w:szCs w:val="22"/>
              </w:rPr>
            </w:pPr>
            <w:bookmarkStart w:id="10" w:name="H勾选"/>
            <w:r>
              <w:rPr>
                <w:rFonts w:hint="eastAsia"/>
                <w:sz w:val="22"/>
                <w:szCs w:val="22"/>
              </w:rPr>
              <w:t>□</w:t>
            </w:r>
            <w:bookmarkEnd w:id="10"/>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sz w:val="22"/>
                <w:szCs w:val="22"/>
              </w:rPr>
              <w:t>E:10,O:10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QJ勾选"/>
            <w:r>
              <w:rPr>
                <w:rFonts w:hint="eastAsia"/>
                <w:sz w:val="22"/>
                <w:szCs w:val="22"/>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6" w:name="组织名称Add1"/>
            <w:r>
              <w:rPr>
                <w:rFonts w:hint="eastAsia"/>
                <w:sz w:val="22"/>
                <w:szCs w:val="22"/>
              </w:rPr>
              <w:t>北京东方远创化工有限责任公司</w:t>
            </w:r>
            <w:bookmarkEnd w:id="16"/>
          </w:p>
        </w:tc>
        <w:tc>
          <w:tcPr>
            <w:tcW w:w="5013" w:type="dxa"/>
            <w:gridSpan w:val="4"/>
            <w:vMerge w:val="restart"/>
          </w:tcPr>
          <w:p>
            <w:pPr>
              <w:snapToGrid w:val="0"/>
              <w:spacing w:line="0" w:lineRule="atLeast"/>
              <w:jc w:val="left"/>
              <w:rPr>
                <w:sz w:val="22"/>
                <w:szCs w:val="22"/>
              </w:rPr>
            </w:pPr>
            <w:bookmarkStart w:id="17" w:name="审核范围"/>
            <w:r>
              <w:rPr>
                <w:sz w:val="22"/>
                <w:szCs w:val="22"/>
              </w:rPr>
              <w:t>E：化工材料，许可范围内危险化学品销售所涉及场所的相关环境管理活动</w:t>
            </w:r>
          </w:p>
          <w:p>
            <w:pPr>
              <w:snapToGrid w:val="0"/>
              <w:spacing w:line="0" w:lineRule="atLeast"/>
              <w:jc w:val="left"/>
              <w:rPr>
                <w:sz w:val="22"/>
                <w:szCs w:val="22"/>
              </w:rPr>
            </w:pPr>
            <w:r>
              <w:rPr>
                <w:sz w:val="22"/>
                <w:szCs w:val="22"/>
              </w:rPr>
              <w:t>O：化工材料，许可范围内危险化学品销售所涉及场所的相关职业健康安全管理活动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北京市房山区燕山岗南路东一巷6号C座C211房间</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GB"/>
              </w:rPr>
              <w:t>北京市房山区燕山迎风四里活动站</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rFonts w:hint="default" w:eastAsia="宋体"/>
                <w:sz w:val="22"/>
                <w:szCs w:val="22"/>
                <w:lang w:val="en-US" w:eastAsia="zh-CN"/>
              </w:rPr>
            </w:pPr>
            <w:r>
              <w:rPr>
                <w:rFonts w:hint="eastAsia"/>
                <w:sz w:val="18"/>
                <w:szCs w:val="18"/>
              </w:rPr>
              <w:t>Beijing Dongfang Yuanchuang Chemical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rPr>
                <w:rFonts w:hint="eastAsia" w:eastAsia="宋体"/>
                <w:sz w:val="15"/>
                <w:szCs w:val="15"/>
                <w:lang w:val="en-US" w:eastAsia="zh-CN"/>
              </w:rPr>
            </w:pPr>
            <w:r>
              <w:rPr>
                <w:rFonts w:hint="eastAsia"/>
                <w:sz w:val="18"/>
                <w:szCs w:val="18"/>
                <w:lang w:val="en-US" w:eastAsia="zh-CN"/>
              </w:rPr>
              <w:t>Chemical materials, sales of hazardous chemicals within the scope of license and relevant environmental management activities of the site</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rPr>
                <w:rFonts w:hint="eastAsia"/>
                <w:sz w:val="18"/>
                <w:szCs w:val="18"/>
              </w:rPr>
            </w:pPr>
            <w:r>
              <w:rPr>
                <w:rFonts w:hint="eastAsia"/>
                <w:sz w:val="18"/>
                <w:szCs w:val="18"/>
              </w:rPr>
              <w:t>Room C211, Block C, No. 6, Dongyi Lane, Yingfenggang South Road, Yanshan District, Beijing</w:t>
            </w:r>
          </w:p>
          <w:p>
            <w:pPr>
              <w:bidi w:val="0"/>
              <w:jc w:val="both"/>
              <w:rPr>
                <w:rFonts w:hint="eastAsia" w:ascii="Times New Roman" w:hAnsi="Times New Roman" w:eastAsia="宋体" w:cs="Times New Roman"/>
                <w:kern w:val="2"/>
                <w:sz w:val="24"/>
                <w:lang w:val="en-US" w:eastAsia="zh-CN" w:bidi="ar-SA"/>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rPr>
                <w:rFonts w:hint="eastAsia" w:eastAsia="宋体"/>
                <w:sz w:val="15"/>
                <w:szCs w:val="15"/>
                <w:lang w:val="en-US" w:eastAsia="zh-CN"/>
              </w:rPr>
            </w:pPr>
            <w:r>
              <w:rPr>
                <w:rFonts w:hint="eastAsia"/>
                <w:sz w:val="18"/>
                <w:szCs w:val="18"/>
              </w:rPr>
              <w:t>Relevant occupational health and safety management activities in the places involved in the sale of chemical materials and hazardous chemicals within the scope of permission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rFonts w:hint="eastAsia" w:eastAsia="宋体"/>
                <w:sz w:val="22"/>
                <w:szCs w:val="22"/>
                <w:lang w:eastAsia="zh-CN"/>
              </w:rPr>
            </w:pPr>
            <w:r>
              <w:rPr>
                <w:rFonts w:hint="eastAsia"/>
                <w:sz w:val="18"/>
                <w:szCs w:val="18"/>
                <w:lang w:val="en-US" w:eastAsia="zh-CN"/>
              </w:rPr>
              <w:t>Yanshan Yingfeng Sili Activity Station, Fangshan District, Beijing</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rFonts w:hint="eastAsia" w:eastAsia="宋体"/>
                <w:sz w:val="22"/>
                <w:szCs w:val="22"/>
                <w:lang w:eastAsia="zh-CN"/>
              </w:rPr>
            </w:pPr>
            <w:r>
              <w:rPr>
                <w:rFonts w:hint="eastAsia" w:eastAsia="宋体"/>
                <w:sz w:val="22"/>
                <w:szCs w:val="22"/>
                <w:lang w:eastAsia="zh-CN"/>
              </w:rPr>
              <w:drawing>
                <wp:inline distT="0" distB="0" distL="114300" distR="114300">
                  <wp:extent cx="1116330" cy="676910"/>
                  <wp:effectExtent l="0" t="0" r="0" b="0"/>
                  <wp:docPr id="1" name="图片 1" descr="李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蒙生"/>
                          <pic:cNvPicPr>
                            <a:picLocks noChangeAspect="1"/>
                          </pic:cNvPicPr>
                        </pic:nvPicPr>
                        <pic:blipFill>
                          <a:blip r:embed="rId5"/>
                          <a:stretch>
                            <a:fillRect/>
                          </a:stretch>
                        </pic:blipFill>
                        <pic:spPr>
                          <a:xfrm>
                            <a:off x="0" y="0"/>
                            <a:ext cx="1116330" cy="676910"/>
                          </a:xfrm>
                          <a:prstGeom prst="rect">
                            <a:avLst/>
                          </a:prstGeom>
                        </pic:spPr>
                      </pic:pic>
                    </a:graphicData>
                  </a:graphic>
                </wp:inline>
              </w:drawing>
            </w: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FkMGQyZTMwNWUwNDFlNTU3ZTBhYmJiNmE4MTAwNmIifQ=="/>
  </w:docVars>
  <w:rsids>
    <w:rsidRoot w:val="00000000"/>
    <w:rsid w:val="60B81A31"/>
    <w:rsid w:val="665E3C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548</Words>
  <Characters>864</Characters>
  <Lines>18</Lines>
  <Paragraphs>5</Paragraphs>
  <TotalTime>14</TotalTime>
  <ScaleCrop>false</ScaleCrop>
  <LinksUpToDate>false</LinksUpToDate>
  <CharactersWithSpaces>1000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2022-11-16T01:05:48Z</cp:lastPrinted>
  <dcterms:modified xsi:type="dcterms:W3CDTF">2022-11-16T01:11:47Z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2052-11.1.0.12763</vt:lpwstr>
  </property>
</Properties>
</file>