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宋体"/>
          <w:b/>
          <w:spacing w:val="-6"/>
          <w:sz w:val="21"/>
          <w:szCs w:val="21"/>
        </w:rPr>
      </w:pPr>
    </w:p>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r>
        <w:rPr>
          <w:rFonts w:hint="eastAsia"/>
          <w:b/>
          <w:sz w:val="22"/>
          <w:szCs w:val="22"/>
        </w:rPr>
        <w:sym w:font="Wingdings 2" w:char="0052"/>
      </w:r>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414"/>
        <w:gridCol w:w="1289"/>
        <w:gridCol w:w="1505"/>
        <w:gridCol w:w="190"/>
        <w:gridCol w:w="1529"/>
        <w:gridCol w:w="1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center"/>
              <w:rPr>
                <w:b/>
                <w:sz w:val="20"/>
              </w:rPr>
            </w:pPr>
            <w:bookmarkStart w:id="0" w:name="组织名称"/>
            <w:r>
              <w:rPr>
                <w:sz w:val="21"/>
                <w:szCs w:val="21"/>
              </w:rPr>
              <w:t>泊头市乐迪环保机械设备有限公司</w:t>
            </w:r>
            <w:bookmarkEnd w:id="0"/>
          </w:p>
        </w:tc>
        <w:tc>
          <w:tcPr>
            <w:tcW w:w="1719"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378" w:type="dxa"/>
            <w:tcBorders>
              <w:top w:val="single" w:color="auto" w:sz="8" w:space="0"/>
            </w:tcBorders>
            <w:vAlign w:val="center"/>
          </w:tcPr>
          <w:p>
            <w:pPr>
              <w:snapToGrid w:val="0"/>
              <w:spacing w:line="280" w:lineRule="exact"/>
              <w:ind w:left="52" w:leftChars="0"/>
              <w:jc w:val="center"/>
              <w:rPr>
                <w:sz w:val="20"/>
                <w:lang w:val="de-DE"/>
              </w:rPr>
            </w:pPr>
            <w:r>
              <w:rPr>
                <w:sz w:val="20"/>
                <w:lang w:val="de-DE"/>
              </w:rPr>
              <w:t>O:18.05.07,</w:t>
            </w:r>
          </w:p>
          <w:p>
            <w:pPr>
              <w:snapToGrid w:val="0"/>
              <w:spacing w:line="280" w:lineRule="exact"/>
              <w:ind w:left="52" w:leftChars="0"/>
              <w:jc w:val="center"/>
              <w:rPr>
                <w:b/>
                <w:sz w:val="20"/>
              </w:rPr>
            </w:pPr>
            <w:r>
              <w:rPr>
                <w:sz w:val="20"/>
                <w:lang w:val="de-DE"/>
              </w:rPr>
              <w:t>18.09.00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3" w:type="dxa"/>
            <w:gridSpan w:val="2"/>
            <w:vAlign w:val="center"/>
          </w:tcPr>
          <w:p>
            <w:pPr>
              <w:snapToGrid w:val="0"/>
              <w:spacing w:line="280" w:lineRule="exact"/>
              <w:jc w:val="center"/>
              <w:rPr>
                <w:rFonts w:hint="eastAsia" w:eastAsia="宋体"/>
                <w:b/>
                <w:sz w:val="20"/>
                <w:lang w:eastAsia="zh-CN"/>
              </w:rPr>
            </w:pPr>
            <w:r>
              <w:rPr>
                <w:rFonts w:hint="eastAsia"/>
                <w:b/>
                <w:sz w:val="20"/>
                <w:lang w:eastAsia="zh-CN"/>
              </w:rPr>
              <w:t>杨园</w:t>
            </w:r>
          </w:p>
        </w:tc>
        <w:tc>
          <w:tcPr>
            <w:tcW w:w="1289"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leftChars="0"/>
              <w:jc w:val="center"/>
              <w:rPr>
                <w:sz w:val="20"/>
                <w:lang w:val="de-DE"/>
              </w:rPr>
            </w:pPr>
            <w:r>
              <w:rPr>
                <w:sz w:val="20"/>
                <w:lang w:val="de-DE"/>
              </w:rPr>
              <w:t>O:18.05.07,</w:t>
            </w:r>
          </w:p>
          <w:p>
            <w:pPr>
              <w:snapToGrid w:val="0"/>
              <w:spacing w:line="280" w:lineRule="exact"/>
              <w:jc w:val="center"/>
              <w:rPr>
                <w:b/>
                <w:sz w:val="20"/>
              </w:rPr>
            </w:pPr>
            <w:r>
              <w:rPr>
                <w:sz w:val="20"/>
                <w:lang w:val="de-DE"/>
              </w:rPr>
              <w:t>18.09.00</w:t>
            </w:r>
          </w:p>
        </w:tc>
        <w:tc>
          <w:tcPr>
            <w:tcW w:w="1719" w:type="dxa"/>
            <w:gridSpan w:val="2"/>
            <w:vAlign w:val="center"/>
          </w:tcPr>
          <w:p>
            <w:pPr>
              <w:snapToGrid w:val="0"/>
              <w:spacing w:line="280" w:lineRule="exact"/>
              <w:jc w:val="center"/>
              <w:rPr>
                <w:b/>
                <w:sz w:val="22"/>
                <w:szCs w:val="22"/>
              </w:rPr>
            </w:pPr>
            <w:r>
              <w:rPr>
                <w:rFonts w:hint="eastAsia"/>
                <w:b/>
                <w:sz w:val="22"/>
                <w:szCs w:val="22"/>
              </w:rPr>
              <w:t>培训地点</w:t>
            </w:r>
          </w:p>
        </w:tc>
        <w:tc>
          <w:tcPr>
            <w:tcW w:w="1378" w:type="dxa"/>
            <w:vAlign w:val="center"/>
          </w:tcPr>
          <w:p>
            <w:pPr>
              <w:snapToGrid w:val="0"/>
              <w:spacing w:line="280" w:lineRule="exact"/>
              <w:jc w:val="center"/>
              <w:rPr>
                <w:rFonts w:hint="eastAsia" w:eastAsia="宋体"/>
                <w:b/>
                <w:sz w:val="20"/>
                <w:lang w:eastAsia="zh-CN"/>
              </w:rPr>
            </w:pPr>
            <w:r>
              <w:rPr>
                <w:rFonts w:hint="eastAsia"/>
                <w:b/>
                <w:sz w:val="20"/>
                <w:lang w:eastAsia="zh-CN"/>
              </w:rPr>
              <w:t>企业办公室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rFonts w:hint="eastAsia" w:eastAsia="宋体"/>
                <w:b/>
                <w:sz w:val="20"/>
                <w:lang w:eastAsia="zh-CN"/>
              </w:rPr>
            </w:pPr>
            <w:r>
              <w:rPr>
                <w:rFonts w:hint="eastAsia"/>
                <w:b/>
                <w:sz w:val="20"/>
                <w:lang w:eastAsia="zh-CN"/>
              </w:rPr>
              <w:t>周文廷</w:t>
            </w:r>
          </w:p>
        </w:tc>
        <w:tc>
          <w:tcPr>
            <w:tcW w:w="1414" w:type="dxa"/>
            <w:vAlign w:val="center"/>
          </w:tcPr>
          <w:p>
            <w:pPr>
              <w:snapToGrid w:val="0"/>
              <w:spacing w:line="360" w:lineRule="exact"/>
              <w:jc w:val="center"/>
              <w:rPr>
                <w:b/>
                <w:sz w:val="20"/>
              </w:rPr>
            </w:pPr>
          </w:p>
        </w:tc>
        <w:tc>
          <w:tcPr>
            <w:tcW w:w="1289"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19" w:type="dxa"/>
            <w:gridSpan w:val="2"/>
            <w:vAlign w:val="center"/>
          </w:tcPr>
          <w:p>
            <w:pPr>
              <w:snapToGrid w:val="0"/>
              <w:spacing w:line="360" w:lineRule="exact"/>
              <w:jc w:val="center"/>
              <w:rPr>
                <w:b/>
                <w:sz w:val="20"/>
              </w:rPr>
            </w:pPr>
          </w:p>
        </w:tc>
        <w:tc>
          <w:tcPr>
            <w:tcW w:w="137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snapToGrid w:val="0"/>
              <w:spacing w:line="280" w:lineRule="exact"/>
              <w:rPr>
                <w:rFonts w:hint="eastAsia"/>
                <w:b/>
                <w:sz w:val="20"/>
              </w:rPr>
            </w:pPr>
            <w:r>
              <w:rPr>
                <w:rFonts w:hint="eastAsia"/>
                <w:b/>
                <w:sz w:val="20"/>
              </w:rPr>
              <w:t>配件生产工艺流程：</w:t>
            </w:r>
          </w:p>
          <w:p>
            <w:pPr>
              <w:snapToGrid w:val="0"/>
              <w:spacing w:line="280" w:lineRule="exact"/>
              <w:rPr>
                <w:rFonts w:hint="eastAsia"/>
                <w:b/>
                <w:sz w:val="20"/>
              </w:rPr>
            </w:pPr>
            <w:r>
              <w:rPr>
                <w:rFonts w:hint="eastAsia"/>
                <w:b/>
                <w:sz w:val="20"/>
              </w:rPr>
              <w:t>镀锌板、不锈钢板→下料→钻床加工→检验→成品→交付</w:t>
            </w:r>
          </w:p>
          <w:p>
            <w:pPr>
              <w:snapToGrid w:val="0"/>
              <w:spacing w:line="280" w:lineRule="exact"/>
              <w:rPr>
                <w:rFonts w:hint="eastAsia"/>
                <w:b/>
                <w:sz w:val="20"/>
              </w:rPr>
            </w:pPr>
            <w:r>
              <w:rPr>
                <w:rFonts w:hint="eastAsia"/>
                <w:b/>
                <w:sz w:val="20"/>
              </w:rPr>
              <w:t>环保设备生产工艺流程：</w:t>
            </w:r>
          </w:p>
          <w:p>
            <w:pPr>
              <w:snapToGrid w:val="0"/>
              <w:spacing w:line="280" w:lineRule="exact"/>
              <w:rPr>
                <w:rFonts w:hint="eastAsia"/>
                <w:b/>
                <w:sz w:val="20"/>
              </w:rPr>
            </w:pPr>
            <w:r>
              <w:rPr>
                <w:rFonts w:hint="eastAsia"/>
                <w:b/>
                <w:sz w:val="20"/>
              </w:rPr>
              <w:t>铁板→下料→折弯、卷圆→拼装→焊接→与配件组装→成品→检验→交付</w:t>
            </w:r>
          </w:p>
          <w:p>
            <w:pPr>
              <w:snapToGrid w:val="0"/>
              <w:spacing w:line="280" w:lineRule="exact"/>
              <w:rPr>
                <w:rFonts w:hint="eastAsia"/>
                <w:b/>
                <w:sz w:val="20"/>
              </w:rPr>
            </w:pPr>
            <w:r>
              <w:rPr>
                <w:rFonts w:hint="eastAsia"/>
                <w:b/>
                <w:sz w:val="20"/>
              </w:rPr>
              <w:t>设计工艺流程：</w:t>
            </w:r>
          </w:p>
          <w:p>
            <w:pPr>
              <w:snapToGrid w:val="0"/>
              <w:spacing w:line="280" w:lineRule="exact"/>
              <w:rPr>
                <w:rFonts w:hint="eastAsia"/>
                <w:b/>
                <w:sz w:val="20"/>
              </w:rPr>
            </w:pPr>
            <w:r>
              <w:rPr>
                <w:rFonts w:hint="eastAsia"/>
                <w:b/>
                <w:sz w:val="20"/>
              </w:rPr>
              <w:t>设计策划→初步设计→详细设计→评审验证确认→交付</w:t>
            </w:r>
          </w:p>
          <w:p>
            <w:pPr>
              <w:snapToGrid w:val="0"/>
              <w:spacing w:line="280" w:lineRule="exact"/>
              <w:rPr>
                <w:rFonts w:hint="eastAsia"/>
                <w:b/>
                <w:sz w:val="20"/>
              </w:rPr>
            </w:pPr>
            <w:r>
              <w:rPr>
                <w:rFonts w:hint="eastAsia"/>
                <w:b/>
                <w:sz w:val="20"/>
              </w:rPr>
              <w:t>安装工艺流程：</w:t>
            </w:r>
          </w:p>
          <w:p>
            <w:pPr>
              <w:snapToGrid w:val="0"/>
              <w:spacing w:line="280" w:lineRule="exact"/>
              <w:rPr>
                <w:b/>
                <w:sz w:val="20"/>
              </w:rPr>
            </w:pPr>
            <w:r>
              <w:rPr>
                <w:rFonts w:hint="eastAsia"/>
                <w:b/>
                <w:sz w:val="20"/>
              </w:rPr>
              <w:t>备料→安装→检验→交付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w:t>
            </w:r>
            <w:r>
              <w:rPr>
                <w:rFonts w:hint="eastAsia"/>
                <w:b/>
                <w:sz w:val="20"/>
                <w:lang w:val="en-US" w:eastAsia="zh-CN"/>
              </w:rPr>
              <w:t>和</w:t>
            </w:r>
            <w:r>
              <w:rPr>
                <w:rFonts w:hint="eastAsia"/>
                <w:b/>
                <w:sz w:val="20"/>
              </w:rPr>
              <w:t>危险源及控制措施</w:t>
            </w:r>
          </w:p>
        </w:tc>
        <w:tc>
          <w:tcPr>
            <w:tcW w:w="8424" w:type="dxa"/>
            <w:gridSpan w:val="7"/>
            <w:vAlign w:val="center"/>
          </w:tcPr>
          <w:p>
            <w:pPr>
              <w:snapToGrid w:val="0"/>
              <w:spacing w:line="280" w:lineRule="exact"/>
              <w:jc w:val="both"/>
              <w:rPr>
                <w:rFonts w:hint="eastAsia"/>
                <w:b/>
                <w:sz w:val="20"/>
                <w:lang w:eastAsia="zh-CN"/>
              </w:rPr>
            </w:pPr>
            <w:r>
              <w:rPr>
                <w:rFonts w:hint="eastAsia"/>
                <w:b/>
                <w:sz w:val="20"/>
                <w:lang w:eastAsia="zh-CN"/>
              </w:rPr>
              <w:t>机械伤害、触电、火灾</w:t>
            </w:r>
          </w:p>
          <w:p>
            <w:pPr>
              <w:snapToGrid w:val="0"/>
              <w:spacing w:line="280" w:lineRule="exact"/>
              <w:jc w:val="both"/>
              <w:rPr>
                <w:rFonts w:hint="eastAsia"/>
                <w:b/>
                <w:sz w:val="20"/>
                <w:lang w:eastAsia="zh-CN"/>
              </w:rPr>
            </w:pPr>
            <w:r>
              <w:rPr>
                <w:rFonts w:hint="eastAsia"/>
                <w:b/>
                <w:sz w:val="20"/>
                <w:lang w:eastAsia="zh-CN"/>
              </w:rPr>
              <w:t>火灾；控制措施：管理方案、应急预案、培训及演练；运行控制</w:t>
            </w:r>
          </w:p>
          <w:p>
            <w:pPr>
              <w:snapToGrid w:val="0"/>
              <w:spacing w:line="280" w:lineRule="exact"/>
              <w:jc w:val="both"/>
              <w:rPr>
                <w:rFonts w:hint="eastAsia"/>
                <w:b/>
                <w:sz w:val="20"/>
                <w:lang w:eastAsia="zh-CN"/>
              </w:rPr>
            </w:pPr>
            <w:r>
              <w:rPr>
                <w:rFonts w:hint="eastAsia"/>
                <w:b/>
                <w:sz w:val="20"/>
                <w:lang w:eastAsia="zh-CN"/>
              </w:rPr>
              <w:t>触电；控制措施：管理方案、应急预案、培训及演练；运行控制</w:t>
            </w:r>
          </w:p>
          <w:p>
            <w:pPr>
              <w:pStyle w:val="2"/>
              <w:rPr>
                <w:rFonts w:hint="eastAsia"/>
                <w:lang w:eastAsia="zh-CN"/>
              </w:rPr>
            </w:pPr>
            <w:r>
              <w:rPr>
                <w:rFonts w:hint="eastAsia"/>
                <w:b/>
                <w:sz w:val="20"/>
                <w:lang w:eastAsia="zh-CN"/>
              </w:rPr>
              <w:t>机械删改；控制措施：安全操作规程、培训、管理方案、应急预案、运行控制</w:t>
            </w:r>
          </w:p>
          <w:p>
            <w:pPr>
              <w:snapToGrid w:val="0"/>
              <w:spacing w:line="280" w:lineRule="exact"/>
              <w:jc w:val="both"/>
              <w:rPr>
                <w:rFonts w:hint="eastAsia" w:eastAsia="宋体"/>
                <w:b/>
                <w:sz w:val="20"/>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职业健康安全</w:t>
            </w:r>
            <w:r>
              <w:rPr>
                <w:rFonts w:hint="eastAsia"/>
                <w:b/>
                <w:sz w:val="20"/>
              </w:rPr>
              <w:t>法律法规的要求及产品标准</w:t>
            </w:r>
          </w:p>
        </w:tc>
        <w:tc>
          <w:tcPr>
            <w:tcW w:w="8424" w:type="dxa"/>
            <w:gridSpan w:val="7"/>
            <w:vAlign w:val="center"/>
          </w:tcPr>
          <w:p>
            <w:pPr>
              <w:snapToGrid w:val="0"/>
              <w:spacing w:line="280" w:lineRule="exact"/>
              <w:jc w:val="left"/>
              <w:rPr>
                <w:rFonts w:hint="eastAsia"/>
                <w:b/>
                <w:sz w:val="20"/>
                <w:lang w:eastAsia="zh-CN"/>
              </w:rPr>
            </w:pPr>
            <w:r>
              <w:rPr>
                <w:rFonts w:hint="eastAsia"/>
                <w:b/>
                <w:sz w:val="20"/>
              </w:rPr>
              <w:t>中华人民共和国安全生产法</w:t>
            </w:r>
            <w:r>
              <w:rPr>
                <w:rFonts w:hint="eastAsia"/>
                <w:b/>
                <w:sz w:val="20"/>
                <w:lang w:eastAsia="zh-CN"/>
              </w:rPr>
              <w:t>、</w:t>
            </w:r>
            <w:r>
              <w:rPr>
                <w:rFonts w:hint="eastAsia"/>
                <w:b/>
                <w:sz w:val="20"/>
              </w:rPr>
              <w:t>劳动保障监察条例</w:t>
            </w:r>
            <w:r>
              <w:rPr>
                <w:rFonts w:hint="eastAsia"/>
                <w:b/>
                <w:sz w:val="20"/>
                <w:lang w:eastAsia="zh-CN"/>
              </w:rPr>
              <w:t>、</w:t>
            </w:r>
            <w:r>
              <w:rPr>
                <w:rFonts w:hint="eastAsia"/>
                <w:b/>
                <w:sz w:val="20"/>
              </w:rPr>
              <w:t>中华人民共和国传染病防治法</w:t>
            </w:r>
            <w:r>
              <w:rPr>
                <w:rFonts w:hint="eastAsia"/>
                <w:b/>
                <w:sz w:val="20"/>
                <w:lang w:eastAsia="zh-CN"/>
              </w:rPr>
              <w:t>、</w:t>
            </w:r>
            <w:r>
              <w:rPr>
                <w:rFonts w:hint="eastAsia"/>
                <w:b/>
                <w:sz w:val="20"/>
              </w:rPr>
              <w:t>中华人民共和国消防法</w:t>
            </w:r>
            <w:r>
              <w:rPr>
                <w:rFonts w:hint="eastAsia"/>
                <w:b/>
                <w:sz w:val="20"/>
                <w:lang w:eastAsia="zh-CN"/>
              </w:rPr>
              <w:t>、</w:t>
            </w:r>
            <w:r>
              <w:rPr>
                <w:rFonts w:hint="eastAsia"/>
                <w:b/>
                <w:sz w:val="20"/>
              </w:rPr>
              <w:t>工作场所职业卫生监督管理规定</w:t>
            </w:r>
            <w:r>
              <w:rPr>
                <w:rFonts w:hint="eastAsia"/>
                <w:b/>
                <w:sz w:val="20"/>
                <w:lang w:eastAsia="zh-CN"/>
              </w:rPr>
              <w:t>、</w:t>
            </w:r>
            <w:r>
              <w:rPr>
                <w:rFonts w:hint="eastAsia"/>
                <w:b/>
                <w:sz w:val="20"/>
              </w:rPr>
              <w:t>企业职工伤亡事故调查分析规则</w:t>
            </w:r>
            <w:r>
              <w:rPr>
                <w:rFonts w:hint="eastAsia"/>
                <w:b/>
                <w:sz w:val="20"/>
                <w:lang w:eastAsia="zh-CN"/>
              </w:rPr>
              <w:t>、</w:t>
            </w:r>
            <w:r>
              <w:rPr>
                <w:rFonts w:hint="eastAsia"/>
                <w:b/>
                <w:sz w:val="20"/>
              </w:rPr>
              <w:t>突发公共卫生事件应急条例</w:t>
            </w:r>
            <w:r>
              <w:rPr>
                <w:rFonts w:hint="eastAsia"/>
                <w:b/>
                <w:sz w:val="20"/>
                <w:lang w:eastAsia="zh-CN"/>
              </w:rPr>
              <w:t>、</w:t>
            </w:r>
            <w:r>
              <w:rPr>
                <w:rFonts w:hint="eastAsia"/>
                <w:b/>
                <w:sz w:val="20"/>
              </w:rPr>
              <w:t>工作场所有害因素职业接触限值</w:t>
            </w:r>
            <w:r>
              <w:rPr>
                <w:rFonts w:hint="eastAsia"/>
                <w:b/>
                <w:sz w:val="20"/>
                <w:lang w:eastAsia="zh-CN"/>
              </w:rPr>
              <w:t>、河北省实施《工伤保险条例》若干规定</w:t>
            </w:r>
          </w:p>
          <w:p>
            <w:pPr>
              <w:snapToGrid w:val="0"/>
              <w:spacing w:line="280" w:lineRule="exact"/>
              <w:jc w:val="both"/>
              <w:rPr>
                <w:rFonts w:hint="eastAsia" w:eastAsia="宋体"/>
                <w:b/>
                <w:sz w:val="20"/>
                <w:lang w:eastAsia="zh-CN"/>
              </w:rPr>
            </w:pPr>
            <w:r>
              <w:rPr>
                <w:rFonts w:hint="eastAsia"/>
                <w:b/>
                <w:sz w:val="20"/>
                <w:lang w:eastAsia="zh-CN"/>
              </w:rPr>
              <w:t>河北省重大危险源监督管理办法、河北省人民政府关于印发落实生产经营单位安全生产主体责任暂行规定的通知等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rFonts w:hint="default"/>
                <w:b/>
                <w:sz w:val="14"/>
                <w:szCs w:val="14"/>
                <w:lang w:val="en-US"/>
              </w:rPr>
            </w:pPr>
            <w:r>
              <w:rPr>
                <w:rFonts w:hint="eastAsia"/>
                <w:b/>
                <w:sz w:val="20"/>
                <w:lang w:val="en-US" w:eastAsia="zh-CN"/>
              </w:rPr>
              <w:t>作业场所职业健康安全监测报告（适用时）</w:t>
            </w:r>
          </w:p>
        </w:tc>
        <w:tc>
          <w:tcPr>
            <w:tcW w:w="8424" w:type="dxa"/>
            <w:gridSpan w:val="7"/>
            <w:vAlign w:val="center"/>
          </w:tcPr>
          <w:p>
            <w:pPr>
              <w:snapToGrid w:val="0"/>
              <w:spacing w:line="280" w:lineRule="exact"/>
              <w:jc w:val="left"/>
              <w:rPr>
                <w:rFonts w:hint="eastAsia" w:eastAsia="宋体"/>
                <w:b/>
                <w:sz w:val="20"/>
                <w:lang w:eastAsia="zh-CN"/>
              </w:rPr>
            </w:pPr>
            <w:r>
              <w:rPr>
                <w:rFonts w:hint="eastAsia"/>
                <w:b/>
                <w:sz w:val="20"/>
                <w:lang w:eastAsia="zh-CN"/>
              </w:rPr>
              <w:t>不适用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both"/>
              <w:rPr>
                <w:rFonts w:hint="eastAsia" w:eastAsia="宋体"/>
                <w:b/>
                <w:sz w:val="20"/>
                <w:lang w:eastAsia="zh-CN"/>
              </w:rPr>
            </w:pPr>
            <w:r>
              <w:rPr>
                <w:rFonts w:hint="eastAsia"/>
                <w:b/>
                <w:sz w:val="20"/>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2"/>
            <w:vAlign w:val="center"/>
          </w:tcPr>
          <w:p>
            <w:pPr>
              <w:snapToGrid w:val="0"/>
              <w:spacing w:line="280" w:lineRule="exact"/>
              <w:jc w:val="both"/>
              <w:rPr>
                <w:rFonts w:hint="eastAsia" w:eastAsia="宋体"/>
                <w:b/>
                <w:sz w:val="20"/>
                <w:lang w:eastAsia="zh-CN"/>
              </w:rPr>
            </w:pPr>
            <w:r>
              <w:rPr>
                <w:rFonts w:hint="eastAsia"/>
                <w:b/>
                <w:sz w:val="20"/>
                <w:lang w:eastAsia="zh-CN"/>
              </w:rPr>
              <w:t>杨园</w:t>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both"/>
              <w:rPr>
                <w:rFonts w:hint="default" w:eastAsia="宋体"/>
                <w:b/>
                <w:sz w:val="20"/>
                <w:lang w:val="en-US" w:eastAsia="zh-CN"/>
              </w:rPr>
            </w:pPr>
            <w:r>
              <w:rPr>
                <w:rFonts w:hint="eastAsia"/>
                <w:b/>
                <w:sz w:val="20"/>
                <w:lang w:val="en-US" w:eastAsia="zh-CN"/>
              </w:rPr>
              <w:t>2022.10.17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2"/>
            <w:tcBorders>
              <w:bottom w:val="single" w:color="auto" w:sz="8" w:space="0"/>
            </w:tcBorders>
            <w:vAlign w:val="center"/>
          </w:tcPr>
          <w:p>
            <w:pPr>
              <w:snapToGrid w:val="0"/>
              <w:spacing w:line="280" w:lineRule="exact"/>
              <w:jc w:val="both"/>
              <w:rPr>
                <w:rFonts w:hint="eastAsia" w:eastAsia="宋体"/>
                <w:b/>
                <w:sz w:val="20"/>
                <w:lang w:eastAsia="zh-CN"/>
              </w:rPr>
            </w:pPr>
            <w:r>
              <w:rPr>
                <w:rFonts w:hint="eastAsia"/>
                <w:b/>
                <w:sz w:val="20"/>
                <w:lang w:eastAsia="zh-CN"/>
              </w:rPr>
              <w:t>杨园</w:t>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both"/>
              <w:rPr>
                <w:b/>
                <w:sz w:val="20"/>
              </w:rPr>
            </w:pPr>
            <w:r>
              <w:rPr>
                <w:rFonts w:hint="eastAsia"/>
                <w:b/>
                <w:sz w:val="20"/>
                <w:lang w:val="en-US" w:eastAsia="zh-CN"/>
              </w:rPr>
              <w:t>2022.10.17</w:t>
            </w: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bookmarkStart w:id="1" w:name="_GoBack"/>
      <w:bookmarkEnd w:id="1"/>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945" w:firstLineChars="450"/>
      <w:jc w:val="left"/>
      <w:rPr>
        <w:rStyle w:val="11"/>
        <w:rFonts w:hint="default"/>
      </w:rPr>
    </w:pPr>
    <w:r>
      <w:rPr>
        <w:rStyle w:val="11"/>
        <w:rFonts w:hint="default"/>
      </w:rPr>
      <w:drawing>
        <wp:anchor distT="0" distB="0" distL="114300" distR="114300" simplePos="0" relativeHeight="251660288" behindDoc="0" locked="0" layoutInCell="1" allowOverlap="1">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900" w:firstLineChars="500"/>
      <w:jc w:val="left"/>
    </w:pPr>
    <w:r>
      <w:pict>
        <v:shape id="_x0000_s4097" o:spid="_x0000_s4097" o:spt="202" type="#_x0000_t202" style="position:absolute;left:0pt;margin-left:379.65pt;margin-top:2.8pt;height:20.2pt;width:111.8pt;z-index:251659264;mso-width-relative:page;mso-height-relative:page;" fillcolor="#FFFFFF" filled="t" stroked="f" coordsize="21600,21600">
          <v:path/>
          <v:fill on="t"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-II-05(05版)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jk5YTFkYjFhYjNiNjIyOTkyMTY0NmZjZDIxZWNjMDcifQ=="/>
  </w:docVars>
  <w:rsids>
    <w:rsidRoot w:val="00000000"/>
    <w:rsid w:val="0C4C20FB"/>
    <w:rsid w:val="1B6617D2"/>
    <w:rsid w:val="2AEB7EC4"/>
    <w:rsid w:val="48DA400F"/>
    <w:rsid w:val="60367925"/>
    <w:rsid w:val="6C100910"/>
    <w:rsid w:val="6ED84B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locked/>
    <w:uiPriority w:val="99"/>
    <w:rPr>
      <w:rFonts w:ascii="Times New Roman" w:hAnsi="Times New Roman" w:eastAsia="宋体" w:cs="Times New Roman"/>
      <w:sz w:val="18"/>
      <w:szCs w:val="18"/>
    </w:rPr>
  </w:style>
  <w:style w:type="character" w:customStyle="1" w:styleId="9">
    <w:name w:val="页眉 Char"/>
    <w:link w:val="5"/>
    <w:qFormat/>
    <w:locked/>
    <w:uiPriority w:val="99"/>
    <w:rPr>
      <w:rFonts w:ascii="Times New Roman" w:hAnsi="Times New Roman" w:eastAsia="宋体" w:cs="Times New Roman"/>
      <w:sz w:val="18"/>
      <w:szCs w:val="18"/>
    </w:rPr>
  </w:style>
  <w:style w:type="character" w:customStyle="1" w:styleId="10">
    <w:name w:val="批注框文本 Char"/>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854</Words>
  <Characters>921</Characters>
  <Lines>2</Lines>
  <Paragraphs>1</Paragraphs>
  <TotalTime>1</TotalTime>
  <ScaleCrop>false</ScaleCrop>
  <LinksUpToDate>false</LinksUpToDate>
  <CharactersWithSpaces>922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园园</cp:lastModifiedBy>
  <dcterms:modified xsi:type="dcterms:W3CDTF">2022-10-18T13:55:24Z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2052-11.1.0.12598</vt:lpwstr>
  </property>
</Properties>
</file>