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0663-2022-QEO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重庆众思润禾环保科技有限公司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2022年10月08日 下午至2022年10月09日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ascii="宋体"/>
                <w:b/>
                <w:color w:val="auto"/>
                <w:szCs w:val="21"/>
              </w:rPr>
            </w:pPr>
            <w:r>
              <w:rPr>
                <w:color w:val="auto"/>
                <w:sz w:val="21"/>
                <w:szCs w:val="21"/>
              </w:rPr>
              <w:t>重庆市长寿区晏家街道齐心大道101号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张力升</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ISC-JSZJ-583</w:t>
            </w:r>
          </w:p>
          <w:p>
            <w:pPr>
              <w:spacing w:line="240" w:lineRule="exact"/>
              <w:jc w:val="center"/>
              <w:rPr>
                <w:b/>
                <w:color w:val="000000"/>
                <w:szCs w:val="21"/>
              </w:rPr>
            </w:pPr>
            <w:r>
              <w:rPr>
                <w:b/>
                <w:color w:val="000000"/>
                <w:szCs w:val="21"/>
              </w:rPr>
              <w:t>ISC-JSZJ-583</w:t>
            </w:r>
          </w:p>
          <w:p>
            <w:pPr>
              <w:spacing w:line="240" w:lineRule="exact"/>
              <w:jc w:val="center"/>
              <w:rPr>
                <w:b/>
                <w:color w:val="000000"/>
                <w:szCs w:val="21"/>
              </w:rPr>
            </w:pPr>
            <w:r>
              <w:rPr>
                <w:b/>
                <w:color w:val="000000"/>
                <w:szCs w:val="21"/>
              </w:rPr>
              <w:t>ISC-JSZJ-583</w:t>
            </w:r>
          </w:p>
          <w:p>
            <w:pPr>
              <w:spacing w:line="240" w:lineRule="exact"/>
              <w:jc w:val="center"/>
              <w:rPr>
                <w:b/>
                <w:color w:val="000000"/>
                <w:szCs w:val="21"/>
              </w:rPr>
            </w:pPr>
            <w:r>
              <w:rPr>
                <w:b/>
                <w:color w:val="000000"/>
                <w:szCs w:val="21"/>
              </w:rPr>
              <w:t>重庆伟世鑫盛环保科技有限公司</w:t>
            </w:r>
          </w:p>
        </w:tc>
        <w:tc>
          <w:tcPr>
            <w:tcW w:w="1140" w:type="dxa"/>
            <w:vAlign w:val="center"/>
          </w:tcPr>
          <w:p>
            <w:pPr>
              <w:spacing w:line="240" w:lineRule="exact"/>
              <w:jc w:val="center"/>
              <w:rPr>
                <w:b/>
                <w:color w:val="000000"/>
                <w:szCs w:val="21"/>
              </w:rPr>
            </w:pPr>
            <w:r>
              <w:rPr>
                <w:b/>
                <w:color w:val="000000"/>
                <w:szCs w:val="21"/>
              </w:rPr>
              <w:t>Q:39.02.02,39.03.02</w:t>
            </w:r>
          </w:p>
          <w:p>
            <w:pPr>
              <w:spacing w:line="240" w:lineRule="exact"/>
              <w:jc w:val="center"/>
              <w:rPr>
                <w:b/>
                <w:color w:val="000000"/>
                <w:szCs w:val="21"/>
              </w:rPr>
            </w:pPr>
            <w:r>
              <w:rPr>
                <w:b/>
                <w:color w:val="000000"/>
                <w:szCs w:val="21"/>
              </w:rPr>
              <w:t>E:39.02.02,39.03.02</w:t>
            </w:r>
          </w:p>
          <w:p>
            <w:pPr>
              <w:spacing w:line="240" w:lineRule="exact"/>
              <w:jc w:val="center"/>
              <w:rPr>
                <w:b/>
                <w:color w:val="000000"/>
                <w:szCs w:val="21"/>
              </w:rPr>
            </w:pPr>
            <w:r>
              <w:rPr>
                <w:b/>
                <w:color w:val="000000"/>
                <w:szCs w:val="21"/>
              </w:rPr>
              <w:t>O:39.02.02,39.03.02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b/>
                <w:color w:val="000000"/>
                <w:szCs w:val="21"/>
              </w:rPr>
              <w:t>张力升</w:t>
            </w:r>
          </w:p>
        </w:tc>
        <w:tc>
          <w:tcPr>
            <w:tcW w:w="1089" w:type="dxa"/>
            <w:vAlign w:val="center"/>
          </w:tcPr>
          <w:p>
            <w:pPr>
              <w:rPr>
                <w:rFonts w:hint="default" w:eastAsia="宋体"/>
                <w:b/>
                <w:color w:val="000000"/>
                <w:szCs w:val="21"/>
                <w:lang w:val="en-US" w:eastAsia="zh-CN"/>
              </w:rPr>
            </w:pPr>
            <w:r>
              <w:rPr>
                <w:rFonts w:hint="eastAsia"/>
                <w:b/>
                <w:color w:val="000000"/>
                <w:szCs w:val="21"/>
                <w:lang w:val="en-US" w:eastAsia="zh-CN"/>
              </w:rPr>
              <w:t>技术专家</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rPr>
                <w:b/>
                <w:color w:val="000000"/>
                <w:szCs w:val="21"/>
              </w:rPr>
            </w:pPr>
            <w:r>
              <w:rPr>
                <w:b/>
                <w:color w:val="000000"/>
                <w:szCs w:val="21"/>
              </w:rPr>
              <w:t>重庆伟世鑫盛环保科技有限公司</w:t>
            </w:r>
          </w:p>
        </w:tc>
        <w:tc>
          <w:tcPr>
            <w:tcW w:w="2228" w:type="dxa"/>
            <w:gridSpan w:val="2"/>
            <w:vAlign w:val="center"/>
          </w:tcPr>
          <w:p>
            <w:pPr>
              <w:rPr>
                <w:rFonts w:hint="eastAsia" w:eastAsia="宋体"/>
                <w:b/>
                <w:color w:val="000000"/>
                <w:szCs w:val="21"/>
                <w:lang w:val="en-US" w:eastAsia="zh-CN"/>
              </w:rPr>
            </w:pPr>
            <w:r>
              <w:rPr>
                <w:rFonts w:hint="eastAsia"/>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重庆众思润禾环保科技有限公司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重庆市长寿区晏家街道齐心大道20号5-2室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401254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重庆市长寿区晏家街道齐心大道101号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401254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廖枝枝</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023-40766991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甘述萍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崔枫</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ascii="宋体"/>
                <w:b/>
                <w:color w:val="000000"/>
                <w:szCs w:val="21"/>
              </w:rPr>
              <w:t>危险废物收集、贮存、预处理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
              <w:rPr>
                <w:rFonts w:hint="eastAsia"/>
                <w:lang w:val="en-US" w:eastAsia="zh-CN"/>
              </w:rPr>
            </w:pPr>
            <w:r>
              <w:rPr>
                <w:rFonts w:hint="eastAsia"/>
                <w:lang w:val="en-US" w:eastAsia="zh-CN"/>
              </w:rPr>
              <w:t>1、液态/半</w:t>
            </w:r>
            <w:r>
              <w:rPr>
                <w:rFonts w:hint="eastAsia"/>
              </w:rPr>
              <w:t>固态废物预处理工艺</w:t>
            </w:r>
            <w:r>
              <w:rPr>
                <w:rFonts w:hint="eastAsia"/>
                <w:lang w:eastAsia="zh-CN"/>
              </w:rPr>
              <w:t>：</w:t>
            </w:r>
          </w:p>
          <w:p>
            <w:pPr>
              <w:rPr>
                <w:rFonts w:hint="eastAsia"/>
              </w:rPr>
            </w:pPr>
            <w:r>
              <w:rPr>
                <w:rFonts w:hint="eastAsia" w:cs="Times New Roman"/>
                <w:lang w:val="en-US" w:eastAsia="zh-CN"/>
              </w:rPr>
              <w:t>取样分析、配伍</w:t>
            </w:r>
            <w:r>
              <w:rPr>
                <w:rFonts w:hint="eastAsia"/>
              </w:rPr>
              <w:t>——</w:t>
            </w:r>
            <w:r>
              <w:rPr>
                <w:rFonts w:hint="eastAsia"/>
                <w:lang w:val="en-US" w:eastAsia="zh-CN"/>
              </w:rPr>
              <w:t>投料</w:t>
            </w:r>
            <w:r>
              <w:rPr>
                <w:rFonts w:hint="eastAsia"/>
              </w:rPr>
              <w:t>——</w:t>
            </w:r>
            <w:r>
              <w:rPr>
                <w:rFonts w:hint="eastAsia"/>
                <w:lang w:val="en-US" w:eastAsia="zh-CN"/>
              </w:rPr>
              <w:t>一级破碎</w:t>
            </w:r>
            <w:r>
              <w:rPr>
                <w:rFonts w:hint="eastAsia"/>
              </w:rPr>
              <w:t>——</w:t>
            </w:r>
            <w:r>
              <w:rPr>
                <w:rFonts w:hint="eastAsia"/>
                <w:lang w:val="en-US" w:eastAsia="zh-CN"/>
              </w:rPr>
              <w:t>二级破碎</w:t>
            </w:r>
            <w:r>
              <w:rPr>
                <w:rFonts w:hint="eastAsia"/>
              </w:rPr>
              <w:t>——混合——</w:t>
            </w:r>
            <w:r>
              <w:rPr>
                <w:rFonts w:hint="eastAsia"/>
                <w:lang w:val="en-US" w:eastAsia="zh-CN"/>
              </w:rPr>
              <w:t>出料、包装</w:t>
            </w:r>
            <w:r>
              <w:rPr>
                <w:rFonts w:hint="eastAsia"/>
              </w:rPr>
              <w:t>。</w:t>
            </w:r>
          </w:p>
          <w:p>
            <w:pPr>
              <w:rPr>
                <w:rFonts w:hint="eastAsia"/>
                <w:lang w:eastAsia="zh-CN"/>
              </w:rPr>
            </w:pPr>
            <w:r>
              <w:rPr>
                <w:rFonts w:hint="eastAsia"/>
                <w:lang w:val="en-US" w:eastAsia="zh-CN"/>
              </w:rPr>
              <w:t>2</w:t>
            </w:r>
            <w:r>
              <w:rPr>
                <w:rFonts w:hint="eastAsia"/>
              </w:rPr>
              <w:t>、固态废物预处理</w:t>
            </w:r>
            <w:r>
              <w:rPr>
                <w:rFonts w:hint="eastAsia"/>
                <w:lang w:val="en-US" w:eastAsia="zh-CN"/>
              </w:rPr>
              <w:t>工艺</w:t>
            </w:r>
            <w:r>
              <w:rPr>
                <w:rFonts w:hint="eastAsia"/>
                <w:lang w:eastAsia="zh-CN"/>
              </w:rPr>
              <w:t>：</w:t>
            </w:r>
          </w:p>
          <w:p>
            <w:pPr>
              <w:rPr>
                <w:rFonts w:hint="eastAsia"/>
              </w:rPr>
            </w:pPr>
            <w:r>
              <w:rPr>
                <w:rFonts w:hint="eastAsia" w:cs="Times New Roman"/>
                <w:lang w:val="en-US" w:eastAsia="zh-CN"/>
              </w:rPr>
              <w:t>取样分析、配伍</w:t>
            </w:r>
            <w:r>
              <w:rPr>
                <w:rFonts w:hint="eastAsia"/>
              </w:rPr>
              <w:t>——</w:t>
            </w:r>
            <w:r>
              <w:rPr>
                <w:rFonts w:hint="eastAsia"/>
                <w:lang w:val="en-US" w:eastAsia="zh-CN"/>
              </w:rPr>
              <w:t>投料</w:t>
            </w:r>
            <w:r>
              <w:rPr>
                <w:rFonts w:hint="eastAsia"/>
              </w:rPr>
              <w:t>——</w:t>
            </w:r>
            <w:r>
              <w:rPr>
                <w:rFonts w:hint="eastAsia"/>
                <w:lang w:val="en-US" w:eastAsia="zh-CN"/>
              </w:rPr>
              <w:t>一级破碎</w:t>
            </w:r>
            <w:r>
              <w:rPr>
                <w:rFonts w:hint="eastAsia"/>
              </w:rPr>
              <w:t>——</w:t>
            </w:r>
            <w:r>
              <w:rPr>
                <w:rFonts w:hint="eastAsia"/>
                <w:lang w:val="en-US" w:eastAsia="zh-CN"/>
              </w:rPr>
              <w:t>二级破碎</w:t>
            </w:r>
            <w:r>
              <w:rPr>
                <w:rFonts w:hint="eastAsia"/>
              </w:rPr>
              <w:t>——混合——</w:t>
            </w:r>
            <w:r>
              <w:rPr>
                <w:rFonts w:hint="eastAsia"/>
                <w:lang w:val="en-US" w:eastAsia="zh-CN"/>
              </w:rPr>
              <w:t>出料、包装</w:t>
            </w:r>
            <w:r>
              <w:rPr>
                <w:rFonts w:hint="eastAsia"/>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
              <w:t>危险废物收集、贮存、预处理</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lang w:val="en-US" w:eastAsia="zh-CN"/>
              </w:rPr>
              <w:t>Q：</w:t>
            </w:r>
            <w:r>
              <w:t>39.02.02;39.03.02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Times New Roman" w:hAnsi="Times New Roman" w:eastAsia="宋体" w:cs="Times New Roman"/>
              </w:rPr>
            </w:pPr>
            <w:r>
              <w:rPr>
                <w:rFonts w:ascii="Times New Roman" w:hAnsi="Times New Roman" w:eastAsia="宋体" w:cs="Times New Roman"/>
              </w:rPr>
              <w:t>危险废物收集、贮存、预处理所涉及场所的相关环境管理活动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lang w:val="en-US" w:eastAsia="zh-CN"/>
              </w:rPr>
              <w:t>E：</w:t>
            </w:r>
            <w:r>
              <w:t>39.02.02;39.03.02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ascii="Times New Roman" w:hAnsi="Times New Roman" w:eastAsia="宋体" w:cs="Times New Roman"/>
              </w:rPr>
              <w:t>危险废物收集、贮存、预处理所涉及场所的相关职业健康安全管理活动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lang w:val="en-US" w:eastAsia="zh-CN"/>
              </w:rPr>
              <w:t>O：</w:t>
            </w:r>
            <w:r>
              <w:t>39.02.02;39.03.02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40"/>
        <w:gridCol w:w="173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74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32"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eastAsia="黑体"/>
                <w:szCs w:val="21"/>
                <w:lang w:val="de-DE" w:eastAsia="ja-JP"/>
              </w:rPr>
            </w:pPr>
            <w:r>
              <w:rPr>
                <w:sz w:val="21"/>
                <w:szCs w:val="21"/>
              </w:rPr>
              <w:t>重庆众思润禾环保科技有限公司</w:t>
            </w:r>
            <w:r>
              <w:rPr>
                <w:rFonts w:hint="eastAsia"/>
                <w:sz w:val="21"/>
                <w:szCs w:val="21"/>
                <w:lang w:val="en-US" w:eastAsia="zh-CN"/>
              </w:rPr>
              <w:t>/</w:t>
            </w:r>
            <w:r>
              <w:rPr>
                <w:sz w:val="21"/>
                <w:szCs w:val="21"/>
              </w:rPr>
              <w:t>重庆市长寿区晏家街道齐心大道20号5-2室</w:t>
            </w:r>
          </w:p>
        </w:tc>
        <w:tc>
          <w:tcPr>
            <w:tcW w:w="2267" w:type="dxa"/>
            <w:vAlign w:val="top"/>
          </w:tcPr>
          <w:p>
            <w:pPr>
              <w:spacing w:before="40" w:after="40"/>
              <w:rPr>
                <w:rFonts w:eastAsia="黑体"/>
                <w:szCs w:val="21"/>
                <w:lang w:val="de-DE" w:eastAsia="ja-JP"/>
              </w:rPr>
            </w:pPr>
            <w:r>
              <w:rPr>
                <w:sz w:val="21"/>
                <w:szCs w:val="21"/>
              </w:rPr>
              <w:t>重庆市长寿区晏家街道齐心大道101号</w:t>
            </w:r>
          </w:p>
        </w:tc>
        <w:tc>
          <w:tcPr>
            <w:tcW w:w="571" w:type="dxa"/>
            <w:vAlign w:val="center"/>
          </w:tcPr>
          <w:p>
            <w:pPr>
              <w:spacing w:before="40" w:after="40"/>
              <w:rPr>
                <w:rFonts w:hint="default" w:eastAsia="黑体"/>
                <w:szCs w:val="21"/>
                <w:lang w:val="en-US" w:eastAsia="ja-JP"/>
              </w:rPr>
            </w:pPr>
            <w:r>
              <w:rPr>
                <w:rFonts w:hint="eastAsia" w:eastAsia="黑体"/>
                <w:szCs w:val="21"/>
                <w:lang w:val="en-US" w:eastAsia="zh-CN"/>
              </w:rPr>
              <w:t>65</w:t>
            </w:r>
          </w:p>
        </w:tc>
        <w:tc>
          <w:tcPr>
            <w:tcW w:w="1740" w:type="dxa"/>
            <w:vAlign w:val="center"/>
          </w:tcPr>
          <w:p>
            <w:pPr>
              <w:pStyle w:val="21"/>
              <w:rPr>
                <w:rFonts w:eastAsia="黑体" w:cs="Arial"/>
                <w:sz w:val="21"/>
                <w:szCs w:val="21"/>
                <w:lang w:val="en-US" w:eastAsia="ja-JP"/>
              </w:rPr>
            </w:pPr>
            <w:r>
              <w:t>危险废物收集、贮存、预处理</w:t>
            </w:r>
          </w:p>
        </w:tc>
        <w:tc>
          <w:tcPr>
            <w:tcW w:w="1732"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GB/T19001-2016GB/T24001-2016GB/T45001-2020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0" w:type="dxa"/>
            <w:vAlign w:val="center"/>
          </w:tcPr>
          <w:p>
            <w:pPr>
              <w:spacing w:before="40" w:after="40"/>
              <w:rPr>
                <w:rFonts w:eastAsia="黑体"/>
                <w:szCs w:val="21"/>
                <w:lang w:eastAsia="ja-JP"/>
              </w:rPr>
            </w:pPr>
          </w:p>
        </w:tc>
        <w:tc>
          <w:tcPr>
            <w:tcW w:w="1732"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0" w:type="dxa"/>
            <w:vAlign w:val="center"/>
          </w:tcPr>
          <w:p>
            <w:pPr>
              <w:spacing w:before="40" w:after="40"/>
              <w:rPr>
                <w:rFonts w:eastAsia="黑体"/>
                <w:szCs w:val="21"/>
                <w:lang w:eastAsia="ja-JP"/>
              </w:rPr>
            </w:pPr>
          </w:p>
        </w:tc>
        <w:tc>
          <w:tcPr>
            <w:tcW w:w="1732"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0" w:type="dxa"/>
            <w:vAlign w:val="center"/>
          </w:tcPr>
          <w:p>
            <w:pPr>
              <w:spacing w:before="40" w:after="40"/>
              <w:rPr>
                <w:rFonts w:eastAsia="黑体"/>
                <w:szCs w:val="21"/>
                <w:lang w:eastAsia="ja-JP"/>
              </w:rPr>
            </w:pPr>
          </w:p>
        </w:tc>
        <w:tc>
          <w:tcPr>
            <w:tcW w:w="1732"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0" w:type="dxa"/>
            <w:vAlign w:val="center"/>
          </w:tcPr>
          <w:p>
            <w:pPr>
              <w:spacing w:before="40" w:after="40"/>
              <w:rPr>
                <w:rFonts w:eastAsia="黑体"/>
                <w:szCs w:val="21"/>
                <w:lang w:eastAsia="ja-JP"/>
              </w:rPr>
            </w:pPr>
          </w:p>
        </w:tc>
        <w:tc>
          <w:tcPr>
            <w:tcW w:w="1732"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11.已根据策划和标准要求于2022年</w:t>
            </w:r>
            <w:r>
              <w:rPr>
                <w:rFonts w:hint="eastAsia" w:ascii="宋体" w:hAnsi="宋体"/>
                <w:b/>
                <w:color w:val="000000"/>
                <w:szCs w:val="21"/>
                <w:lang w:val="en-US" w:eastAsia="zh-CN"/>
              </w:rPr>
              <w:t>8</w:t>
            </w:r>
            <w:r>
              <w:rPr>
                <w:rFonts w:hint="eastAsia" w:ascii="宋体" w:hAnsi="宋体"/>
                <w:b/>
                <w:color w:val="000000"/>
                <w:szCs w:val="21"/>
              </w:rPr>
              <w:t>月</w:t>
            </w:r>
            <w:r>
              <w:rPr>
                <w:rFonts w:hint="eastAsia" w:ascii="宋体" w:hAnsi="宋体"/>
                <w:b/>
                <w:color w:val="000000"/>
                <w:szCs w:val="21"/>
                <w:lang w:val="en-US" w:eastAsia="zh-CN"/>
              </w:rPr>
              <w:t>18</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12.已根据策划于2022年9月15日完成管理评审，包括所有标准要求的输入和输出,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highlight w:val="none"/>
                <w:u w:val="none"/>
              </w:rPr>
              <w:t>取样分析、配料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hint="default" w:ascii="宋体" w:hAnsi="宋体" w:eastAsia="宋体"/>
                <w:color w:val="000000"/>
                <w:spacing w:val="-10"/>
                <w:szCs w:val="21"/>
                <w:lang w:val="en-US" w:eastAsia="zh-CN"/>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b/>
                <w:bCs/>
                <w:color w:val="000000"/>
                <w:sz w:val="18"/>
                <w:szCs w:val="18"/>
                <w:lang w:val="en-US" w:eastAsia="zh-CN"/>
              </w:rPr>
              <w:t>2022年5月9日因违反《排污许可管理条例》第6条第一款规定，受到行政处罚（罚款贰拾万元）。公司于2022年5月25日接受处罚并缴纳了罚款。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bookmarkStart w:id="37" w:name="_GoBack"/>
            <w:bookmarkEnd w:id="37"/>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hint="eastAsia" w:ascii="宋体" w:hAnsi="宋体"/>
                <w:color w:val="000000"/>
                <w:spacing w:val="-10"/>
                <w:szCs w:val="21"/>
              </w:rPr>
            </w:pPr>
            <w:r>
              <w:rPr>
                <w:rFonts w:hint="eastAsia" w:ascii="宋体" w:hAnsi="宋体"/>
                <w:color w:val="000000"/>
                <w:spacing w:val="-10"/>
                <w:szCs w:val="21"/>
              </w:rPr>
              <w:t>是否提供近一年的作业场所有害物质监测报告</w:t>
            </w:r>
          </w:p>
        </w:tc>
        <w:tc>
          <w:tcPr>
            <w:tcW w:w="2793" w:type="dxa"/>
            <w:gridSpan w:val="2"/>
            <w:shd w:val="clear" w:color="auto" w:fill="FFFF00"/>
          </w:tcPr>
          <w:p>
            <w:pPr>
              <w:rPr>
                <w:rFonts w:hint="eastAsia"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r>
              <w:rPr>
                <w:rFonts w:hint="eastAsia" w:ascii="宋体" w:hAnsi="宋体"/>
                <w:color w:val="000000"/>
                <w:spacing w:val="-10"/>
                <w:szCs w:val="21"/>
                <w:lang w:eastAsia="zh-CN"/>
              </w:rPr>
              <w:t>■</w:t>
            </w:r>
            <w:r>
              <w:rPr>
                <w:rFonts w:hint="eastAsia" w:ascii="宋体" w:hAnsi="宋体"/>
                <w:color w:val="000000"/>
                <w:spacing w:val="-10"/>
                <w:szCs w:val="21"/>
              </w:rPr>
              <w:t>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是否提供近一年的职业健康体检报告</w:t>
            </w:r>
          </w:p>
        </w:tc>
        <w:tc>
          <w:tcPr>
            <w:tcW w:w="2793" w:type="dxa"/>
            <w:gridSpan w:val="2"/>
            <w:shd w:val="clear" w:color="auto" w:fill="FFFF00"/>
          </w:tcPr>
          <w:p>
            <w:pPr>
              <w:rPr>
                <w:rFonts w:asci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r>
              <w:rPr>
                <w:rFonts w:hint="eastAsia" w:ascii="宋体" w:hAnsi="宋体"/>
                <w:color w:val="000000"/>
                <w:spacing w:val="-10"/>
                <w:szCs w:val="21"/>
                <w:highlight w:val="none"/>
              </w:rPr>
              <w:t>□</w:t>
            </w:r>
            <w:r>
              <w:rPr>
                <w:rFonts w:hint="eastAsia" w:ascii="宋体" w:hAnsi="宋体"/>
                <w:color w:val="000000"/>
                <w:szCs w:val="21"/>
                <w:highlight w:val="none"/>
              </w:rPr>
              <w:t>否</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themeColor="text1"/>
                <w:szCs w:val="21"/>
              </w:rPr>
              <w:t>初步定于</w:t>
            </w:r>
            <w:bookmarkStart w:id="35" w:name="二阶段审核日期"/>
            <w:r>
              <w:rPr>
                <w:rFonts w:hint="eastAsia" w:ascii="宋体"/>
                <w:b/>
                <w:color w:val="000000" w:themeColor="text1"/>
                <w:szCs w:val="21"/>
              </w:rPr>
              <w:t>2022-</w:t>
            </w:r>
            <w:r>
              <w:rPr>
                <w:rFonts w:hint="eastAsia" w:ascii="宋体"/>
                <w:b/>
                <w:color w:val="000000" w:themeColor="text1"/>
                <w:szCs w:val="21"/>
                <w:lang w:val="en-US" w:eastAsia="zh-CN"/>
              </w:rPr>
              <w:t>10</w:t>
            </w:r>
            <w:r>
              <w:rPr>
                <w:rFonts w:hint="eastAsia" w:ascii="宋体"/>
                <w:b/>
                <w:color w:val="000000" w:themeColor="text1"/>
                <w:szCs w:val="21"/>
              </w:rPr>
              <w:t>-</w:t>
            </w:r>
            <w:bookmarkEnd w:id="35"/>
            <w:r>
              <w:rPr>
                <w:rFonts w:hint="eastAsia" w:ascii="宋体"/>
                <w:b/>
                <w:color w:val="000000" w:themeColor="text1"/>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r>
              <w:t>危险废物收集、贮存、预处理</w:t>
            </w:r>
          </w:p>
          <w:p>
            <w:pPr>
              <w:spacing w:line="400" w:lineRule="exact"/>
              <w:rPr>
                <w:rFonts w:ascii="宋体" w:hAnsi="宋体"/>
                <w:b/>
                <w:color w:val="000000"/>
                <w:szCs w:val="21"/>
              </w:rPr>
            </w:pPr>
          </w:p>
        </w:tc>
        <w:tc>
          <w:tcPr>
            <w:tcW w:w="1541" w:type="dxa"/>
            <w:vAlign w:val="center"/>
          </w:tcPr>
          <w:p>
            <w:bookmarkStart w:id="36" w:name="专业代码"/>
            <w:r>
              <w:t>Q：39.02.02;39.03.02</w:t>
            </w:r>
          </w:p>
          <w:bookmarkEnd w:id="36"/>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
              <w:t>危险废物收集、贮存、预处理所涉及场所的相关环境管理活动</w:t>
            </w:r>
          </w:p>
          <w:p>
            <w:pPr>
              <w:spacing w:line="400" w:lineRule="exact"/>
              <w:rPr>
                <w:rFonts w:ascii="宋体" w:hAnsi="宋体"/>
                <w:b/>
                <w:color w:val="000000"/>
                <w:szCs w:val="21"/>
              </w:rPr>
            </w:pPr>
          </w:p>
        </w:tc>
        <w:tc>
          <w:tcPr>
            <w:tcW w:w="1541" w:type="dxa"/>
            <w:vAlign w:val="center"/>
          </w:tcPr>
          <w:p>
            <w:pPr>
              <w:rPr>
                <w:rFonts w:ascii="宋体" w:hAnsi="宋体"/>
                <w:b/>
                <w:color w:val="000000"/>
                <w:szCs w:val="21"/>
              </w:rPr>
            </w:pPr>
            <w:r>
              <w:t>E：39.02.02;39.03.02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危险废物收集、贮存、预处理所涉及场所的相关职业健康安全管理活动</w:t>
            </w:r>
          </w:p>
        </w:tc>
        <w:tc>
          <w:tcPr>
            <w:tcW w:w="1541" w:type="dxa"/>
            <w:vAlign w:val="center"/>
          </w:tcPr>
          <w:p>
            <w:pPr>
              <w:spacing w:line="400" w:lineRule="exact"/>
              <w:rPr>
                <w:rFonts w:ascii="宋体" w:hAnsi="宋体"/>
                <w:b/>
                <w:color w:val="000000"/>
                <w:szCs w:val="21"/>
              </w:rPr>
            </w:pPr>
            <w:r>
              <w:t>O：39.02.02;39.03.02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5583555</wp:posOffset>
            </wp:positionH>
            <wp:positionV relativeFrom="paragraph">
              <wp:posOffset>267970</wp:posOffset>
            </wp:positionV>
            <wp:extent cx="906780" cy="542925"/>
            <wp:effectExtent l="0" t="0" r="7620" b="9525"/>
            <wp:wrapNone/>
            <wp:docPr id="31" name="图片 31" descr="6e1aefacba5fc9c1a0dd347a1bdf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6e1aefacba5fc9c1a0dd347a1bdfe07"/>
                    <pic:cNvPicPr>
                      <a:picLocks noChangeAspect="1"/>
                    </pic:cNvPicPr>
                  </pic:nvPicPr>
                  <pic:blipFill>
                    <a:blip r:embed="rId6"/>
                    <a:stretch>
                      <a:fillRect/>
                    </a:stretch>
                  </pic:blipFill>
                  <pic:spPr>
                    <a:xfrm>
                      <a:off x="0" y="0"/>
                      <a:ext cx="906780" cy="542925"/>
                    </a:xfrm>
                    <a:prstGeom prst="rect">
                      <a:avLst/>
                    </a:prstGeom>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5064760</wp:posOffset>
            </wp:positionH>
            <wp:positionV relativeFrom="paragraph">
              <wp:posOffset>331470</wp:posOffset>
            </wp:positionV>
            <wp:extent cx="506730" cy="383540"/>
            <wp:effectExtent l="0" t="0" r="7620" b="16510"/>
            <wp:wrapNone/>
            <wp:docPr id="7"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签名.jpg"/>
                    <pic:cNvPicPr>
                      <a:picLocks noChangeAspect="1" noChangeArrowheads="1"/>
                    </pic:cNvPicPr>
                  </pic:nvPicPr>
                  <pic:blipFill>
                    <a:blip r:embed="rId7" cstate="print"/>
                    <a:srcRect/>
                    <a:stretch>
                      <a:fillRect/>
                    </a:stretch>
                  </pic:blipFill>
                  <pic:spPr>
                    <a:xfrm>
                      <a:off x="0" y="0"/>
                      <a:ext cx="506730" cy="38354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4070350</wp:posOffset>
            </wp:positionH>
            <wp:positionV relativeFrom="paragraph">
              <wp:posOffset>349250</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1790065</wp:posOffset>
            </wp:positionH>
            <wp:positionV relativeFrom="paragraph">
              <wp:posOffset>317500</wp:posOffset>
            </wp:positionV>
            <wp:extent cx="469900" cy="395605"/>
            <wp:effectExtent l="0" t="0" r="6350" b="4445"/>
            <wp:wrapNone/>
            <wp:docPr id="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15cd665cf2cf133a499ed811c6806d9"/>
                    <pic:cNvPicPr>
                      <a:picLocks noChangeAspect="1"/>
                    </pic:cNvPicPr>
                  </pic:nvPicPr>
                  <pic:blipFill>
                    <a:blip r:embed="rId9"/>
                    <a:stretch>
                      <a:fillRect/>
                    </a:stretch>
                  </pic:blipFill>
                  <pic:spPr>
                    <a:xfrm>
                      <a:off x="0" y="0"/>
                      <a:ext cx="469900" cy="39560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2022年10月9日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重庆众思润禾环保科技有限公司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647700</wp:posOffset>
                  </wp:positionH>
                  <wp:positionV relativeFrom="paragraph">
                    <wp:posOffset>1905</wp:posOffset>
                  </wp:positionV>
                  <wp:extent cx="375285" cy="316230"/>
                  <wp:effectExtent l="0" t="0" r="5715" b="7620"/>
                  <wp:wrapNone/>
                  <wp:docPr id="3"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15cd665cf2cf133a499ed811c6806d9"/>
                          <pic:cNvPicPr>
                            <a:picLocks noChangeAspect="1"/>
                          </pic:cNvPicPr>
                        </pic:nvPicPr>
                        <pic:blipFill>
                          <a:blip r:embed="rId9"/>
                          <a:stretch>
                            <a:fillRect/>
                          </a:stretch>
                        </pic:blipFill>
                        <pic:spPr>
                          <a:xfrm>
                            <a:off x="0" y="0"/>
                            <a:ext cx="375285" cy="31623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廖技技</w:t>
            </w:r>
            <w:r>
              <w:rPr>
                <w:rFonts w:hint="eastAsia"/>
                <w:color w:val="000000"/>
                <w:sz w:val="24"/>
                <w:szCs w:val="24"/>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568960</wp:posOffset>
                  </wp:positionH>
                  <wp:positionV relativeFrom="paragraph">
                    <wp:posOffset>67945</wp:posOffset>
                  </wp:positionV>
                  <wp:extent cx="384810" cy="324485"/>
                  <wp:effectExtent l="0" t="0" r="15240" b="18415"/>
                  <wp:wrapNone/>
                  <wp:docPr id="5"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15cd665cf2cf133a499ed811c6806d9"/>
                          <pic:cNvPicPr>
                            <a:picLocks noChangeAspect="1"/>
                          </pic:cNvPicPr>
                        </pic:nvPicPr>
                        <pic:blipFill>
                          <a:blip r:embed="rId9"/>
                          <a:stretch>
                            <a:fillRect/>
                          </a:stretch>
                        </pic:blipFill>
                        <pic:spPr>
                          <a:xfrm>
                            <a:off x="0" y="0"/>
                            <a:ext cx="384810" cy="32448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25D403BD"/>
    <w:rsid w:val="2EF73C9B"/>
    <w:rsid w:val="31B9528D"/>
    <w:rsid w:val="42165D74"/>
    <w:rsid w:val="529E4D53"/>
    <w:rsid w:val="662A15CC"/>
    <w:rsid w:val="67D03302"/>
    <w:rsid w:val="7AAE048D"/>
    <w:rsid w:val="7AEA7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5671</Words>
  <Characters>6557</Characters>
  <Lines>67</Lines>
  <Paragraphs>18</Paragraphs>
  <TotalTime>2</TotalTime>
  <ScaleCrop>false</ScaleCrop>
  <LinksUpToDate>false</LinksUpToDate>
  <CharactersWithSpaces>6657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2022-10-11T02:21:08Z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