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695"/>
        <w:gridCol w:w="1128"/>
        <w:gridCol w:w="17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重庆众思润禾环保科技有限公司</w:t>
            </w:r>
            <w:bookmarkEnd w:id="2"/>
          </w:p>
        </w:tc>
        <w:tc>
          <w:tcPr>
            <w:tcW w:w="112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77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Q:39.02.02,39.03.02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E:39.02.02,39.03.02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O:39.02.02,39.03.02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张力升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t>Q：39.02.02,39.03.02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（危险废物的收集、危险废物的处理和处置）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会议室10月8日11：00-12：00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66675</wp:posOffset>
                  </wp:positionV>
                  <wp:extent cx="375285" cy="316230"/>
                  <wp:effectExtent l="0" t="0" r="5715" b="7620"/>
                  <wp:wrapNone/>
                  <wp:docPr id="4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102235</wp:posOffset>
                  </wp:positionV>
                  <wp:extent cx="711835" cy="352425"/>
                  <wp:effectExtent l="0" t="0" r="12065" b="9525"/>
                  <wp:wrapNone/>
                  <wp:docPr id="53" name="图片 53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53340</wp:posOffset>
                  </wp:positionV>
                  <wp:extent cx="506730" cy="383540"/>
                  <wp:effectExtent l="0" t="0" r="7620" b="16510"/>
                  <wp:wrapNone/>
                  <wp:docPr id="5" name="图片 5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1、液态/半</w:t>
            </w:r>
            <w:r>
              <w:rPr>
                <w:rFonts w:hint="eastAsia"/>
              </w:rPr>
              <w:t>固态废物预处理工艺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、固态废物预处理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line="280" w:lineRule="exac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关键工序：</w:t>
            </w: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，无特殊过程。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废物处理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风险：</w:t>
            </w:r>
            <w:r>
              <w:rPr>
                <w:rFonts w:hint="eastAsia" w:cs="Times New Roman"/>
                <w:lang w:val="en-US" w:eastAsia="zh-CN"/>
              </w:rPr>
              <w:t>取样分析、配伍不准确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造成</w:t>
            </w:r>
            <w:r>
              <w:rPr>
                <w:rFonts w:hint="eastAsia" w:cs="Times New Roman"/>
                <w:lang w:val="en-US" w:eastAsia="zh-CN"/>
              </w:rPr>
              <w:t>废物处理不达标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控制措施：制定操作指导书，人员技能培训，设备的维护保养的控制等。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中华人民共和国民法典、中华人民共和国安全生产法、中华人民共和国产品质量法、《利用水泥窑协同处置固体废物项目预处理产物质Q/ZSRHHB-11.12-2018等标准规范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取样分析主要测试重金属、热值、水分、氟氯硫成分、有机含量。</w:t>
            </w: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废气排放检测：有机废气含量。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51435</wp:posOffset>
                  </wp:positionV>
                  <wp:extent cx="795020" cy="476250"/>
                  <wp:effectExtent l="0" t="0" r="5080" b="0"/>
                  <wp:wrapNone/>
                  <wp:docPr id="3" name="图片 3" descr="6e1aefacba5fc9c1a0dd347a1bdf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e1aefacba5fc9c1a0dd347a1bdfe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80"/>
        <w:gridCol w:w="1365"/>
        <w:gridCol w:w="88"/>
        <w:gridCol w:w="1156"/>
        <w:gridCol w:w="1638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重庆众思润禾环保科技有限公司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Q:39.02.02,39.03.02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E:39.02.02,39.03.02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O:39.02.02,39.03.02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张力升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E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：39.02.02,39.03.02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（危险废物的收集、危险废物的处理和处置）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会议室10月8日11：00-12：00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125730</wp:posOffset>
                  </wp:positionV>
                  <wp:extent cx="375285" cy="316230"/>
                  <wp:effectExtent l="0" t="0" r="5715" b="7620"/>
                  <wp:wrapNone/>
                  <wp:docPr id="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105410</wp:posOffset>
                  </wp:positionV>
                  <wp:extent cx="711835" cy="352425"/>
                  <wp:effectExtent l="0" t="0" r="12065" b="9525"/>
                  <wp:wrapNone/>
                  <wp:docPr id="8" name="图片 8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1、液态/半</w:t>
            </w:r>
            <w:r>
              <w:rPr>
                <w:rFonts w:hint="eastAsia"/>
              </w:rPr>
              <w:t>固态废物预处理工艺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、固态废物预处理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重要环境因素：</w:t>
            </w:r>
            <w:r>
              <w:rPr>
                <w:rFonts w:hint="eastAsia" w:ascii="宋体" w:hAnsi="宋体"/>
                <w:szCs w:val="21"/>
              </w:rPr>
              <w:t>潜在火灾、固废排放、噪声排放、废气排放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控制措施：废气采用UV光解处理器和抽风入窑燃烧处理，粉尘采用布袋除尘器处理。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）、污水综合排放标准（CB8978-1996）、《中华人民共和国环境噪声污染防治法》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《利用水泥窑协同处置固体废物项目预处理产物质Q/ZSRHHB-11.12-2018等标准规范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提供环境监测报告，详细见附件。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15240</wp:posOffset>
                  </wp:positionV>
                  <wp:extent cx="906780" cy="542925"/>
                  <wp:effectExtent l="0" t="0" r="7620" b="9525"/>
                  <wp:wrapNone/>
                  <wp:docPr id="31" name="图片 31" descr="6e1aefacba5fc9c1a0dd347a1bdf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6e1aefacba5fc9c1a0dd347a1bdfe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87630</wp:posOffset>
                  </wp:positionV>
                  <wp:extent cx="371475" cy="341630"/>
                  <wp:effectExtent l="0" t="0" r="9525" b="1270"/>
                  <wp:wrapNone/>
                  <wp:docPr id="7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8"/>
        <w:gridCol w:w="1414"/>
        <w:gridCol w:w="1"/>
        <w:gridCol w:w="1287"/>
        <w:gridCol w:w="1697"/>
        <w:gridCol w:w="1334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1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重庆众思润禾环保科技有限公司</w:t>
            </w:r>
          </w:p>
        </w:tc>
        <w:tc>
          <w:tcPr>
            <w:tcW w:w="133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57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Q:39.02.02,39.03.02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E:39.02.02,39.03.02</w:t>
            </w:r>
          </w:p>
          <w:p>
            <w:pPr>
              <w:snapToGrid w:val="0"/>
              <w:spacing w:line="280" w:lineRule="exact"/>
              <w:ind w:left="52" w:leftChars="0"/>
              <w:jc w:val="both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O:39.02.02,39.03.02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张力升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97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O</w:t>
            </w:r>
            <w:r>
              <w:rPr>
                <w:rFonts w:hint="eastAsia" w:eastAsia="宋体"/>
                <w:b/>
                <w:sz w:val="20"/>
                <w:lang w:eastAsia="zh-CN"/>
              </w:rPr>
              <w:t>：39.02.02,39.03.02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（危险废物的收集、危险废物的处理和处置）</w:t>
            </w: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会议室10月8日11：00-12：00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93980</wp:posOffset>
                  </wp:positionV>
                  <wp:extent cx="375285" cy="316230"/>
                  <wp:effectExtent l="0" t="0" r="5715" b="7620"/>
                  <wp:wrapNone/>
                  <wp:docPr id="10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46355</wp:posOffset>
                  </wp:positionV>
                  <wp:extent cx="815340" cy="403860"/>
                  <wp:effectExtent l="0" t="0" r="3810" b="15240"/>
                  <wp:wrapNone/>
                  <wp:docPr id="11" name="图片 1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1、液态/半</w:t>
            </w:r>
            <w:r>
              <w:rPr>
                <w:rFonts w:hint="eastAsia"/>
              </w:rPr>
              <w:t>固态废物预处理工艺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、固态废物预处理</w:t>
            </w:r>
            <w:r>
              <w:rPr>
                <w:rFonts w:hint="eastAsia"/>
                <w:lang w:val="en-US" w:eastAsia="zh-CN"/>
              </w:rPr>
              <w:t>工艺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取样分析、配伍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投料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一级破碎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val="en-US" w:eastAsia="zh-CN"/>
              </w:rPr>
              <w:t>二级破碎</w:t>
            </w:r>
            <w:r>
              <w:rPr>
                <w:rFonts w:hint="eastAsia"/>
              </w:rPr>
              <w:t>——混合——</w:t>
            </w:r>
            <w:r>
              <w:rPr>
                <w:rFonts w:hint="eastAsia"/>
                <w:lang w:val="en-US" w:eastAsia="zh-CN"/>
              </w:rPr>
              <w:t>出料、包装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不可接受风险：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火灾；职业病；意外伤害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等，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有机挥发废气和粉尘，采取负压压抽风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等设备处理；作业人员穿戴工作服、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防毒面罩</w:t>
            </w: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、耳塞、手套等防护用品防护。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中华人民共和国安全消防法、中华人民共和国安全生产法、中华人民共和国职业病防治法、劳动防护用品管理规定、《利用水泥窑协同处置固体废物项目预处理产物质Q/ZSRHHB-11.12-2018等标准规范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企业已联系重庆化</w:t>
            </w:r>
            <w:bookmarkStart w:id="3" w:name="_GoBack"/>
            <w:bookmarkEnd w:id="3"/>
            <w:r>
              <w:rPr>
                <w:rFonts w:hint="eastAsia"/>
                <w:color w:val="000000"/>
                <w:highlight w:val="none"/>
                <w:lang w:val="en-US" w:eastAsia="zh-CN"/>
              </w:rPr>
              <w:t>工研究院近期来公司现场作职业危险因素检测，正在实施中。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60325</wp:posOffset>
                  </wp:positionV>
                  <wp:extent cx="945515" cy="566420"/>
                  <wp:effectExtent l="0" t="0" r="6985" b="5080"/>
                  <wp:wrapNone/>
                  <wp:docPr id="1" name="图片 1" descr="6e1aefacba5fc9c1a0dd347a1bdf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e1aefacba5fc9c1a0dd347a1bdfe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207010</wp:posOffset>
                  </wp:positionV>
                  <wp:extent cx="371475" cy="341630"/>
                  <wp:effectExtent l="0" t="0" r="9525" b="1270"/>
                  <wp:wrapNone/>
                  <wp:docPr id="9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2022年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4232571"/>
    <w:rsid w:val="0C5F3835"/>
    <w:rsid w:val="10EE2059"/>
    <w:rsid w:val="11C10C4D"/>
    <w:rsid w:val="1CF514A1"/>
    <w:rsid w:val="2DDD6476"/>
    <w:rsid w:val="31D6746F"/>
    <w:rsid w:val="32F81DE5"/>
    <w:rsid w:val="37BB7471"/>
    <w:rsid w:val="408D092B"/>
    <w:rsid w:val="47040B94"/>
    <w:rsid w:val="491D1CBA"/>
    <w:rsid w:val="4DF42A2F"/>
    <w:rsid w:val="55C62DB3"/>
    <w:rsid w:val="5F741923"/>
    <w:rsid w:val="777141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1445</Words>
  <Characters>1787</Characters>
  <Lines>2</Lines>
  <Paragraphs>1</Paragraphs>
  <TotalTime>0</TotalTime>
  <ScaleCrop>false</ScaleCrop>
  <LinksUpToDate>false</LinksUpToDate>
  <CharactersWithSpaces>1791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2022-10-12T02:56:04Z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2052-11.1.0.12358</vt:lpwstr>
  </property>
</Properties>
</file>