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1103-2022-E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咸阳海龙密封复合材料有限公司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91610424221927205J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58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咸阳海龙密封复合材料有限公司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密封材料；金属橡胶复合密封板；金属橡胶密封件；软木复合材料密封制品的生产和销售所涉及场所的相关环境管理活动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陕西省咸阳市乾县阳峪镇海龙路1号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lang w:val="en-GB"/>
              </w:rPr>
            </w:pPr>
            <w:bookmarkStart w:id="21" w:name="办公地址"/>
            <w:r>
              <w:rPr>
                <w:rFonts w:hint="eastAsia"/>
                <w:sz w:val="22"/>
                <w:szCs w:val="22"/>
                <w:lang w:val="en-GB"/>
              </w:rPr>
              <w:t>陕西省咸阳市乾县阳峪镇海龙路1号</w:t>
            </w:r>
            <w:bookmarkEnd w:id="21"/>
          </w:p>
          <w:p>
            <w:pPr>
              <w:snapToGrid w:val="0"/>
              <w:spacing w:line="0" w:lineRule="atLeast"/>
              <w:jc w:val="left"/>
              <w:rPr>
                <w:rFonts w:hint="eastAsia"/>
                <w:sz w:val="22"/>
                <w:szCs w:val="22"/>
                <w:lang w:val="en-GB"/>
              </w:rPr>
            </w:pPr>
          </w:p>
          <w:p>
            <w:pPr>
              <w:snapToGrid w:val="0"/>
              <w:spacing w:line="0" w:lineRule="atLeast"/>
              <w:jc w:val="left"/>
              <w:rPr>
                <w:rFonts w:hint="eastAsia"/>
                <w:sz w:val="22"/>
                <w:szCs w:val="22"/>
                <w:lang w:val="en-GB"/>
              </w:rPr>
            </w:pPr>
            <w:r>
              <w:rPr>
                <w:rFonts w:hint="eastAsia"/>
                <w:sz w:val="22"/>
                <w:szCs w:val="22"/>
                <w:lang w:val="en-GB"/>
              </w:rPr>
              <w:t xml:space="preserve">陕西省咸阳市乾县工业区92号 </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 xml:space="preserve"> Xanyang Sea-Dragon material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Production of metal-rubber composite sealing plates, cork rubber sealing products, metal-rubber composite seals, metal-cork rubber seals, special rubber seals (except for those with qualification requirements) and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 xml:space="preserve">1# Hailong Road, Yanyy Town, Qian County, Xianyang City, Shaanxi Province </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b/>
                <w:color w:val="000000"/>
                <w:sz w:val="22"/>
                <w:szCs w:val="22"/>
              </w:rPr>
            </w:pPr>
            <w:r>
              <w:rPr>
                <w:b/>
                <w:color w:val="000000"/>
                <w:sz w:val="22"/>
                <w:szCs w:val="22"/>
              </w:rPr>
              <w:t>1# Hailong Road, Yanyy Town, Qian County, Xianyang City, Shaanxi Province</w:t>
            </w:r>
          </w:p>
          <w:p>
            <w:pPr>
              <w:snapToGrid w:val="0"/>
              <w:spacing w:line="0" w:lineRule="atLeast"/>
              <w:jc w:val="left"/>
              <w:rPr>
                <w:b/>
                <w:color w:val="000000"/>
                <w:sz w:val="22"/>
                <w:szCs w:val="22"/>
              </w:rPr>
            </w:pPr>
          </w:p>
          <w:p>
            <w:pPr>
              <w:snapToGrid w:val="0"/>
              <w:spacing w:line="0" w:lineRule="atLeast"/>
              <w:jc w:val="left"/>
              <w:rPr>
                <w:b/>
                <w:color w:val="000000"/>
                <w:sz w:val="22"/>
                <w:szCs w:val="22"/>
              </w:rPr>
            </w:pPr>
            <w:r>
              <w:rPr>
                <w:rFonts w:hint="eastAsia"/>
                <w:b/>
                <w:color w:val="000000"/>
                <w:sz w:val="22"/>
                <w:szCs w:val="22"/>
              </w:rPr>
              <w:t>92# Qian County Industrial Zone, Xianyang City, Shaanxi Province</w:t>
            </w:r>
          </w:p>
          <w:p>
            <w:pPr>
              <w:snapToGrid w:val="0"/>
              <w:spacing w:line="0" w:lineRule="atLeast"/>
              <w:jc w:val="left"/>
              <w:rPr>
                <w:b/>
                <w:color w:val="000000"/>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bookmarkStart w:id="22" w:name="_GoBack"/>
            <w:r>
              <w:rPr>
                <w:rFonts w:hint="eastAsia" w:eastAsia="宋体" w:cs="Arial"/>
                <w:b/>
                <w:bCs/>
                <w:sz w:val="22"/>
                <w:szCs w:val="16"/>
                <w:lang w:eastAsia="zh-CN"/>
              </w:rPr>
              <w:drawing>
                <wp:anchor distT="0" distB="0" distL="114300" distR="114300" simplePos="0" relativeHeight="251662336" behindDoc="0" locked="0" layoutInCell="1" allowOverlap="1">
                  <wp:simplePos x="0" y="0"/>
                  <wp:positionH relativeFrom="column">
                    <wp:posOffset>-476885</wp:posOffset>
                  </wp:positionH>
                  <wp:positionV relativeFrom="paragraph">
                    <wp:posOffset>-778510</wp:posOffset>
                  </wp:positionV>
                  <wp:extent cx="6911340" cy="9708515"/>
                  <wp:effectExtent l="0" t="0" r="10160" b="6985"/>
                  <wp:wrapNone/>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5"/>
                          <a:stretch>
                            <a:fillRect/>
                          </a:stretch>
                        </pic:blipFill>
                        <pic:spPr>
                          <a:xfrm>
                            <a:off x="0" y="0"/>
                            <a:ext cx="6911340" cy="9708515"/>
                          </a:xfrm>
                          <a:prstGeom prst="rect">
                            <a:avLst/>
                          </a:prstGeom>
                        </pic:spPr>
                      </pic:pic>
                    </a:graphicData>
                  </a:graphic>
                </wp:anchor>
              </w:drawing>
            </w:r>
            <w:bookmarkEnd w:id="22"/>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center"/>
              <w:rPr>
                <w:rFonts w:cs="Arial"/>
                <w:b/>
                <w:bCs/>
                <w:sz w:val="22"/>
                <w:szCs w:val="16"/>
              </w:rPr>
            </w:pPr>
            <w:r>
              <w:rPr>
                <w:rFonts w:hint="eastAsia" w:cs="Arial"/>
                <w:b/>
                <w:bCs/>
                <w:sz w:val="22"/>
                <w:szCs w:val="16"/>
              </w:rPr>
              <w:t>受审核方签章</w:t>
            </w:r>
          </w:p>
        </w:tc>
        <w:tc>
          <w:tcPr>
            <w:tcW w:w="5040" w:type="dxa"/>
            <w:gridSpan w:val="3"/>
            <w:vAlign w:val="center"/>
          </w:tcPr>
          <w:p>
            <w:pPr>
              <w:snapToGrid w:val="0"/>
              <w:spacing w:line="0" w:lineRule="atLeast"/>
              <w:jc w:val="center"/>
              <w:rPr>
                <w:rFonts w:cs="Arial"/>
                <w:b/>
                <w:bCs/>
                <w:sz w:val="22"/>
                <w:szCs w:val="16"/>
              </w:rPr>
            </w:pPr>
          </w:p>
          <w:p>
            <w:pPr>
              <w:snapToGrid w:val="0"/>
              <w:spacing w:line="0" w:lineRule="atLeast"/>
              <w:jc w:val="center"/>
              <w:rPr>
                <w:rFonts w:hint="eastAsia" w:eastAsia="宋体" w:cs="Arial"/>
                <w:b/>
                <w:bCs/>
                <w:sz w:val="22"/>
                <w:szCs w:val="16"/>
                <w:lang w:eastAsia="zh-CN"/>
              </w:rPr>
            </w:pPr>
          </w:p>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tc>
        <w:tc>
          <w:tcPr>
            <w:tcW w:w="1370" w:type="dxa"/>
            <w:vAlign w:val="center"/>
          </w:tcPr>
          <w:p>
            <w:pPr>
              <w:snapToGrid w:val="0"/>
              <w:spacing w:line="0" w:lineRule="atLeast"/>
              <w:jc w:val="center"/>
              <w:rPr>
                <w:sz w:val="22"/>
                <w:szCs w:val="22"/>
              </w:rPr>
            </w:pPr>
            <w:r>
              <w:rPr>
                <w:rFonts w:hint="eastAsia"/>
                <w:b/>
                <w:bCs/>
                <w:sz w:val="22"/>
                <w:szCs w:val="18"/>
              </w:rPr>
              <w:t>审核组长签字</w:t>
            </w:r>
          </w:p>
        </w:tc>
        <w:tc>
          <w:tcPr>
            <w:tcW w:w="1976" w:type="dxa"/>
            <w:vAlign w:val="center"/>
          </w:tcPr>
          <w:p>
            <w:pPr>
              <w:snapToGrid w:val="0"/>
              <w:spacing w:line="0" w:lineRule="atLeast"/>
              <w:jc w:val="center"/>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247650</wp:posOffset>
                  </wp:positionH>
                  <wp:positionV relativeFrom="paragraph">
                    <wp:posOffset>162560</wp:posOffset>
                  </wp:positionV>
                  <wp:extent cx="408305" cy="313690"/>
                  <wp:effectExtent l="0" t="0" r="10795" b="381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08305" cy="313690"/>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rPr>
          <w:rFonts w:hint="eastAsia" w:eastAsia="宋体"/>
          <w:lang w:eastAsia="zh-CN"/>
        </w:rPr>
      </w:pPr>
      <w:r>
        <w:rPr>
          <w:rFonts w:hint="eastAsia"/>
        </w:rPr>
        <w:t>5、组织需自行提供英文版认证证书信息。</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E5C1B04"/>
    <w:rsid w:val="7D4A5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3</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2022-10-13T09:19:24Z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