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968"/>
        <w:gridCol w:w="1097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08"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8"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1097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受审核部门：人力部（含财务）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主管领导：孙行利         陪同人员：祝</w:t>
            </w:r>
            <w:r>
              <w:rPr>
                <w:rFonts w:hint="eastAsia" w:ascii="宋体" w:hAnsi="宋体" w:eastAsia="宋体" w:cs="宋体"/>
                <w:sz w:val="24"/>
                <w:szCs w:val="24"/>
                <w:lang w:val="en-US" w:eastAsia="zh-CN"/>
              </w:rPr>
              <w:t>逸</w:t>
            </w:r>
            <w:r>
              <w:rPr>
                <w:rFonts w:hint="eastAsia" w:ascii="宋体" w:hAnsi="宋体" w:eastAsia="宋体" w:cs="宋体"/>
                <w:sz w:val="24"/>
                <w:szCs w:val="24"/>
              </w:rPr>
              <w:t>夫</w:t>
            </w:r>
          </w:p>
        </w:tc>
        <w:tc>
          <w:tcPr>
            <w:tcW w:w="1155"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8" w:type="dxa"/>
            <w:vMerge w:val="continue"/>
            <w:vAlign w:val="center"/>
          </w:tcPr>
          <w:p>
            <w:pPr>
              <w:spacing w:line="360" w:lineRule="auto"/>
              <w:rPr>
                <w:rFonts w:hint="eastAsia" w:ascii="宋体" w:hAnsi="宋体" w:eastAsia="宋体" w:cs="宋体"/>
                <w:sz w:val="24"/>
                <w:szCs w:val="24"/>
              </w:rPr>
            </w:pPr>
          </w:p>
        </w:tc>
        <w:tc>
          <w:tcPr>
            <w:tcW w:w="968" w:type="dxa"/>
            <w:vMerge w:val="continue"/>
            <w:vAlign w:val="center"/>
          </w:tcPr>
          <w:p>
            <w:pPr>
              <w:spacing w:line="360" w:lineRule="auto"/>
              <w:rPr>
                <w:rFonts w:hint="eastAsia" w:ascii="宋体" w:hAnsi="宋体" w:eastAsia="宋体" w:cs="宋体"/>
                <w:sz w:val="24"/>
                <w:szCs w:val="24"/>
              </w:rPr>
            </w:pPr>
          </w:p>
        </w:tc>
        <w:tc>
          <w:tcPr>
            <w:tcW w:w="10978" w:type="dxa"/>
            <w:vAlign w:val="center"/>
          </w:tcPr>
          <w:p>
            <w:pPr>
              <w:spacing w:before="120" w:line="360" w:lineRule="auto"/>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李俐</w:t>
            </w:r>
            <w:r>
              <w:rPr>
                <w:rFonts w:hint="eastAsia" w:ascii="宋体" w:hAnsi="宋体" w:eastAsia="宋体" w:cs="宋体"/>
                <w:sz w:val="24"/>
                <w:szCs w:val="24"/>
              </w:rPr>
              <w:t xml:space="preserve">            审核时间：2022年10月10日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微信视频、语音、群沟通</w:t>
            </w:r>
            <w:r>
              <w:rPr>
                <w:rFonts w:hint="eastAsia" w:ascii="宋体" w:hAnsi="宋体" w:eastAsia="宋体" w:cs="宋体"/>
                <w:sz w:val="24"/>
                <w:szCs w:val="24"/>
                <w:lang w:eastAsia="zh-CN"/>
              </w:rPr>
              <w:t>）</w:t>
            </w:r>
          </w:p>
        </w:tc>
        <w:tc>
          <w:tcPr>
            <w:tcW w:w="115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08" w:type="dxa"/>
            <w:vMerge w:val="continue"/>
            <w:vAlign w:val="center"/>
          </w:tcPr>
          <w:p>
            <w:pPr>
              <w:spacing w:line="360" w:lineRule="auto"/>
              <w:rPr>
                <w:rFonts w:hint="eastAsia" w:ascii="宋体" w:hAnsi="宋体" w:eastAsia="宋体" w:cs="宋体"/>
                <w:sz w:val="24"/>
                <w:szCs w:val="24"/>
              </w:rPr>
            </w:pPr>
          </w:p>
        </w:tc>
        <w:tc>
          <w:tcPr>
            <w:tcW w:w="968" w:type="dxa"/>
            <w:vMerge w:val="continue"/>
            <w:vAlign w:val="center"/>
          </w:tcPr>
          <w:p>
            <w:pPr>
              <w:spacing w:line="360" w:lineRule="auto"/>
              <w:rPr>
                <w:rFonts w:hint="eastAsia" w:ascii="宋体" w:hAnsi="宋体" w:eastAsia="宋体" w:cs="宋体"/>
                <w:sz w:val="24"/>
                <w:szCs w:val="24"/>
              </w:rPr>
            </w:pPr>
          </w:p>
        </w:tc>
        <w:tc>
          <w:tcPr>
            <w:tcW w:w="1097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审核条款：</w:t>
            </w:r>
          </w:p>
          <w:p>
            <w:pPr>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rPr>
              <w:t>EMS: 5.3、6.1.2、6.2、7.2、7.3、7.5.1、7.5.2、7.5.3、8.1</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8.2</w:t>
            </w:r>
            <w:r>
              <w:rPr>
                <w:rFonts w:hint="eastAsia" w:ascii="宋体" w:hAnsi="宋体" w:eastAsia="宋体" w:cs="宋体"/>
                <w:color w:val="000000" w:themeColor="text1"/>
                <w:sz w:val="24"/>
                <w:szCs w:val="24"/>
              </w:rPr>
              <w:t>。</w:t>
            </w:r>
          </w:p>
        </w:tc>
        <w:tc>
          <w:tcPr>
            <w:tcW w:w="115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tcPr>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组织的岗位、职责和权限</w:t>
            </w:r>
          </w:p>
        </w:tc>
        <w:tc>
          <w:tcPr>
            <w:tcW w:w="968" w:type="dxa"/>
          </w:tcPr>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E5.3</w:t>
            </w:r>
          </w:p>
        </w:tc>
        <w:tc>
          <w:tcPr>
            <w:tcW w:w="1097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询问主要职责：</w:t>
            </w:r>
          </w:p>
          <w:p>
            <w:pPr>
              <w:spacing w:line="360" w:lineRule="auto"/>
              <w:rPr>
                <w:rFonts w:hint="eastAsia" w:ascii="宋体" w:hAnsi="宋体" w:eastAsia="宋体" w:cs="宋体"/>
                <w:sz w:val="24"/>
                <w:szCs w:val="24"/>
              </w:rPr>
            </w:pPr>
            <w:r>
              <w:rPr>
                <w:rFonts w:hint="eastAsia" w:ascii="宋体" w:hAnsi="宋体" w:eastAsia="宋体" w:cs="宋体"/>
                <w:sz w:val="24"/>
                <w:szCs w:val="24"/>
              </w:rPr>
              <w:t>1) 负责部门环境因素识别与评价，确定重要环境因素；</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负责招聘、培训、人力资源管理；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3) 组织环境管理体系文件的编写和文件的管理；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4）负责公司环境保护资金筹措和拨付，并监督其合理使用；负责环境工程项目资金的使用管理。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询问人力部</w:t>
            </w:r>
            <w:r>
              <w:rPr>
                <w:rFonts w:hint="eastAsia" w:ascii="宋体" w:hAnsi="宋体" w:eastAsia="宋体" w:cs="宋体"/>
                <w:sz w:val="24"/>
                <w:szCs w:val="24"/>
              </w:rPr>
              <w:t xml:space="preserve">孙行利 </w:t>
            </w:r>
            <w:r>
              <w:rPr>
                <w:rFonts w:hint="eastAsia" w:ascii="宋体" w:hAnsi="宋体" w:eastAsia="宋体" w:cs="宋体"/>
                <w:sz w:val="24"/>
                <w:szCs w:val="24"/>
                <w:lang w:val="en-US" w:eastAsia="zh-CN"/>
              </w:rPr>
              <w:t>，职责回答正确。</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目标</w:t>
            </w:r>
          </w:p>
        </w:tc>
        <w:tc>
          <w:tcPr>
            <w:tcW w:w="96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E6.2</w:t>
            </w:r>
          </w:p>
        </w:tc>
        <w:tc>
          <w:tcPr>
            <w:tcW w:w="1097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本部门的目标有:</w:t>
            </w:r>
          </w:p>
          <w:p>
            <w:pPr>
              <w:spacing w:line="360" w:lineRule="auto"/>
              <w:rPr>
                <w:rFonts w:hint="eastAsia" w:ascii="宋体" w:hAnsi="宋体" w:eastAsia="宋体" w:cs="宋体"/>
                <w:sz w:val="24"/>
                <w:szCs w:val="24"/>
              </w:rPr>
            </w:pPr>
            <w:r>
              <w:rPr>
                <w:rFonts w:hint="eastAsia" w:ascii="宋体" w:hAnsi="宋体" w:eastAsia="宋体" w:cs="宋体"/>
                <w:sz w:val="24"/>
                <w:szCs w:val="24"/>
              </w:rPr>
              <w:t>培训计划有效执行率100%</w:t>
            </w:r>
          </w:p>
          <w:p>
            <w:pPr>
              <w:spacing w:line="360" w:lineRule="auto"/>
              <w:rPr>
                <w:rFonts w:hint="eastAsia" w:ascii="宋体" w:hAnsi="宋体" w:eastAsia="宋体" w:cs="宋体"/>
                <w:sz w:val="24"/>
                <w:szCs w:val="24"/>
              </w:rPr>
            </w:pPr>
            <w:r>
              <w:rPr>
                <w:rFonts w:hint="eastAsia" w:ascii="宋体" w:hAnsi="宋体" w:eastAsia="宋体" w:cs="宋体"/>
                <w:sz w:val="24"/>
                <w:szCs w:val="24"/>
              </w:rPr>
              <w:t>固体废弃物有效处理率为100%</w:t>
            </w:r>
          </w:p>
          <w:p>
            <w:pPr>
              <w:spacing w:line="360" w:lineRule="auto"/>
              <w:rPr>
                <w:rFonts w:hint="eastAsia" w:ascii="宋体" w:hAnsi="宋体" w:eastAsia="宋体" w:cs="宋体"/>
                <w:sz w:val="24"/>
                <w:szCs w:val="24"/>
              </w:rPr>
            </w:pPr>
            <w:r>
              <w:rPr>
                <w:rFonts w:hint="eastAsia" w:ascii="宋体" w:hAnsi="宋体" w:eastAsia="宋体" w:cs="宋体"/>
                <w:sz w:val="24"/>
                <w:szCs w:val="24"/>
              </w:rPr>
              <w:t>提供20</w:t>
            </w:r>
            <w:r>
              <w:rPr>
                <w:rFonts w:hint="eastAsia" w:ascii="宋体" w:hAnsi="宋体" w:eastAsia="宋体" w:cs="宋体"/>
                <w:sz w:val="24"/>
                <w:szCs w:val="24"/>
                <w:lang w:val="en-US" w:eastAsia="zh-CN"/>
              </w:rPr>
              <w:t>22</w:t>
            </w:r>
            <w:r>
              <w:rPr>
                <w:rFonts w:hint="eastAsia" w:ascii="宋体" w:hAnsi="宋体" w:eastAsia="宋体" w:cs="宋体"/>
                <w:sz w:val="24"/>
                <w:szCs w:val="24"/>
              </w:rPr>
              <w:t>.9.30日 《2022年目标指标统计表》，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经考核以上各目标均已达成。   </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环境因素</w:t>
            </w:r>
          </w:p>
        </w:tc>
        <w:tc>
          <w:tcPr>
            <w:tcW w:w="968"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6.1.2</w:t>
            </w:r>
          </w:p>
          <w:p>
            <w:pPr>
              <w:spacing w:line="360" w:lineRule="auto"/>
              <w:rPr>
                <w:rFonts w:hint="eastAsia" w:ascii="宋体" w:hAnsi="宋体" w:eastAsia="宋体" w:cs="宋体"/>
                <w:sz w:val="24"/>
                <w:szCs w:val="24"/>
              </w:rPr>
            </w:pPr>
          </w:p>
        </w:tc>
        <w:tc>
          <w:tcPr>
            <w:tcW w:w="10978"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执行</w:t>
            </w:r>
            <w:r>
              <w:rPr>
                <w:rFonts w:hint="eastAsia" w:ascii="宋体" w:hAnsi="宋体" w:eastAsia="宋体" w:cs="宋体"/>
                <w:sz w:val="24"/>
                <w:szCs w:val="24"/>
              </w:rPr>
              <w:t>《环境因素识别与评价程序》。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提供了《环境因素识别及评价表》，识别了办公过程中的水电消耗、纸张废弃、一次性杯子废弃、拖把废弃、火灾等。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人力部重要环境因素为：火灾事故的发生。 </w:t>
            </w:r>
          </w:p>
          <w:p>
            <w:pPr>
              <w:spacing w:line="360" w:lineRule="auto"/>
              <w:rPr>
                <w:rFonts w:hint="eastAsia" w:ascii="宋体" w:hAnsi="宋体" w:eastAsia="宋体" w:cs="宋体"/>
                <w:sz w:val="24"/>
                <w:szCs w:val="24"/>
              </w:rPr>
            </w:pPr>
            <w:r>
              <w:rPr>
                <w:rFonts w:hint="eastAsia" w:ascii="宋体" w:hAnsi="宋体" w:eastAsia="宋体" w:cs="宋体"/>
                <w:sz w:val="24"/>
                <w:szCs w:val="24"/>
              </w:rPr>
              <w:t>对于重要环境因素的控制，通过日常检查、目标、管理方案、运行控制、应急预案等控制方式。</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08" w:type="dxa"/>
          </w:tcPr>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能力、意识</w:t>
            </w:r>
          </w:p>
        </w:tc>
        <w:tc>
          <w:tcPr>
            <w:tcW w:w="968" w:type="dxa"/>
          </w:tcPr>
          <w:p>
            <w:pPr>
              <w:spacing w:line="360" w:lineRule="auto"/>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7.2</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7.3</w:t>
            </w:r>
          </w:p>
        </w:tc>
        <w:tc>
          <w:tcPr>
            <w:tcW w:w="10978"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制定了《岗位人员任职要求》，对各部门领导层、管理研究所、生产部、人力部、营业所、外协部、密封研究所、质量中心负责人岗位能力工作权限与内容、任职资格（经验知识个人素质、专业技能）的等作出了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查看《员工任职能力评价表》，其中包括：总经理、管代、各部门负责人等。能够满足公司环境管理体系运行以及体系覆盖产品生产和服务的需求。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查看20</w:t>
            </w:r>
            <w:r>
              <w:rPr>
                <w:rFonts w:hint="eastAsia" w:ascii="宋体" w:hAnsi="宋体" w:eastAsia="宋体" w:cs="宋体"/>
                <w:sz w:val="24"/>
                <w:szCs w:val="24"/>
                <w:lang w:val="en-US" w:eastAsia="zh-CN"/>
              </w:rPr>
              <w:t>22</w:t>
            </w:r>
            <w:r>
              <w:rPr>
                <w:rFonts w:hint="eastAsia" w:ascii="宋体" w:hAnsi="宋体" w:eastAsia="宋体" w:cs="宋体"/>
                <w:sz w:val="24"/>
                <w:szCs w:val="24"/>
              </w:rPr>
              <w:t>年培训计划，内容包括：环境体系建设、环保设备运行维护保养知识、环境应急知识、环境目标及实施等培训。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抽1：20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月29日在会议室进行了GB/T24001-2016标准及环境管理体系实施知识、环保设备运行、办公场所废弃物处理培训，参加人员：班组长以上人员；培训效果评价，提问考核合格。评价人：侯锐。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抽2：20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月18日 进行灭火器使用应急逃生应急救援培训，参加人员：全体人员；培训效果评价，提问考核合格。评价人：侯锐。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抽3、20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日，突发环境应急预案、风险评估培训</w:t>
            </w:r>
            <w:r>
              <w:rPr>
                <w:rFonts w:hint="eastAsia" w:ascii="宋体" w:hAnsi="宋体" w:eastAsia="宋体" w:cs="宋体"/>
                <w:color w:val="000000" w:themeColor="text1"/>
                <w:sz w:val="24"/>
                <w:szCs w:val="24"/>
              </w:rPr>
              <w:t>。培训取得预期效果。参加人员：全体员工，培训</w:t>
            </w:r>
            <w:r>
              <w:rPr>
                <w:rFonts w:hint="eastAsia" w:ascii="宋体" w:hAnsi="宋体" w:eastAsia="宋体" w:cs="宋体"/>
                <w:sz w:val="24"/>
                <w:szCs w:val="24"/>
              </w:rPr>
              <w:t>有效性评价：提问考核合格。评价人：侯锐。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提供相应的培训记录，及人员签到表和培训效果评价。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查特种作业叉车操作工人员。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姓名：柏新社，编号610426197305085318，有效期至2022.9.27日，发证机构西咸新区质量技术监督局。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查特种作业</w:t>
            </w:r>
            <w:r>
              <w:rPr>
                <w:rFonts w:hint="eastAsia" w:ascii="宋体" w:hAnsi="宋体" w:cs="宋体"/>
                <w:sz w:val="24"/>
                <w:szCs w:val="24"/>
                <w:lang w:val="en-US" w:eastAsia="zh-CN"/>
              </w:rPr>
              <w:t>电工</w:t>
            </w:r>
            <w:r>
              <w:rPr>
                <w:rFonts w:hint="eastAsia" w:ascii="宋体" w:hAnsi="宋体" w:eastAsia="宋体" w:cs="宋体"/>
                <w:sz w:val="24"/>
                <w:szCs w:val="24"/>
              </w:rPr>
              <w:t>操作工人员。</w:t>
            </w:r>
          </w:p>
          <w:p>
            <w:pPr>
              <w:spacing w:line="360" w:lineRule="auto"/>
              <w:ind w:firstLine="480" w:firstLineChars="200"/>
              <w:rPr>
                <w:rFonts w:hint="eastAsia"/>
              </w:rPr>
            </w:pPr>
            <w:r>
              <w:rPr>
                <w:rFonts w:hint="eastAsia" w:ascii="宋体" w:hAnsi="宋体" w:eastAsia="宋体" w:cs="宋体"/>
                <w:sz w:val="24"/>
                <w:szCs w:val="24"/>
              </w:rPr>
              <w:t>姓名：</w:t>
            </w:r>
            <w:r>
              <w:rPr>
                <w:rFonts w:hint="eastAsia" w:ascii="宋体" w:hAnsi="宋体" w:cs="宋体"/>
                <w:sz w:val="24"/>
                <w:szCs w:val="24"/>
                <w:lang w:val="en-US" w:eastAsia="zh-CN"/>
              </w:rPr>
              <w:t>乙军</w:t>
            </w:r>
            <w:r>
              <w:rPr>
                <w:rFonts w:hint="eastAsia" w:ascii="宋体" w:hAnsi="宋体" w:eastAsia="宋体" w:cs="宋体"/>
                <w:sz w:val="24"/>
                <w:szCs w:val="24"/>
              </w:rPr>
              <w:t>，编号</w:t>
            </w:r>
            <w:r>
              <w:rPr>
                <w:rFonts w:hint="eastAsia" w:ascii="宋体" w:hAnsi="宋体" w:cs="宋体"/>
                <w:sz w:val="24"/>
                <w:szCs w:val="24"/>
                <w:lang w:eastAsia="zh-CN"/>
              </w:rPr>
              <w:t>：</w:t>
            </w:r>
            <w:r>
              <w:rPr>
                <w:rFonts w:hint="eastAsia" w:ascii="宋体" w:hAnsi="宋体" w:eastAsia="宋体" w:cs="宋体"/>
                <w:sz w:val="24"/>
                <w:szCs w:val="24"/>
              </w:rPr>
              <w:t>T610424198709265819，有效期至202</w:t>
            </w:r>
            <w:r>
              <w:rPr>
                <w:rFonts w:hint="eastAsia" w:ascii="宋体" w:hAnsi="宋体" w:cs="宋体"/>
                <w:sz w:val="24"/>
                <w:szCs w:val="24"/>
                <w:lang w:val="en-US" w:eastAsia="zh-CN"/>
              </w:rPr>
              <w:t>6.</w:t>
            </w:r>
            <w:r>
              <w:rPr>
                <w:rFonts w:hint="eastAsia" w:ascii="宋体" w:hAnsi="宋体" w:eastAsia="宋体" w:cs="宋体"/>
                <w:sz w:val="24"/>
                <w:szCs w:val="24"/>
              </w:rPr>
              <w:t>0</w:t>
            </w:r>
            <w:r>
              <w:rPr>
                <w:rFonts w:hint="eastAsia" w:ascii="宋体" w:hAnsi="宋体" w:cs="宋体"/>
                <w:sz w:val="24"/>
                <w:szCs w:val="24"/>
                <w:lang w:val="en-US" w:eastAsia="zh-CN"/>
              </w:rPr>
              <w:t>8.</w:t>
            </w:r>
            <w:r>
              <w:rPr>
                <w:rFonts w:hint="eastAsia" w:ascii="宋体" w:hAnsi="宋体" w:eastAsia="宋体" w:cs="宋体"/>
                <w:sz w:val="24"/>
                <w:szCs w:val="24"/>
              </w:rPr>
              <w:t>16，发证机构内蒙古自治区应急管理厅。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通过培训、面谈等沟通方式，提高了员工的素质，增强了员工的环保意识，员工认识到了自身贡献的重要性。</w:t>
            </w:r>
          </w:p>
          <w:p>
            <w:pPr>
              <w:spacing w:line="360" w:lineRule="auto"/>
              <w:rPr>
                <w:rFonts w:hint="eastAsia" w:ascii="宋体" w:hAnsi="宋体" w:eastAsia="宋体" w:cs="宋体"/>
                <w:sz w:val="24"/>
                <w:szCs w:val="24"/>
              </w:rPr>
            </w:pPr>
            <w:r>
              <w:rPr>
                <w:rFonts w:hint="eastAsia" w:ascii="宋体" w:hAnsi="宋体" w:eastAsia="宋体" w:cs="宋体"/>
                <w:sz w:val="24"/>
                <w:szCs w:val="24"/>
              </w:rPr>
              <w:t>企业已对人力资源的管理、控制进行了策划，并已实施控制，针对体系文件的系统学习进行了交流。</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720" w:firstLineChars="3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08"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形成文件的信息总则</w:t>
            </w:r>
          </w:p>
        </w:tc>
        <w:tc>
          <w:tcPr>
            <w:tcW w:w="968"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7.5.1</w:t>
            </w:r>
          </w:p>
          <w:p>
            <w:pPr>
              <w:spacing w:line="360" w:lineRule="auto"/>
              <w:rPr>
                <w:rFonts w:hint="eastAsia" w:ascii="宋体" w:hAnsi="宋体" w:eastAsia="宋体" w:cs="宋体"/>
                <w:sz w:val="24"/>
                <w:szCs w:val="24"/>
              </w:rPr>
            </w:pPr>
          </w:p>
        </w:tc>
        <w:tc>
          <w:tcPr>
            <w:tcW w:w="1097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企业根据公司建立了管理体系的要求及其体系覆盖范围、企业员工的文化水平、各过程的控制难易程度、企业的实际情况建立了管理体系，企业环境管理体系文件主要包括： </w:t>
            </w:r>
          </w:p>
          <w:p>
            <w:pPr>
              <w:spacing w:line="360" w:lineRule="auto"/>
              <w:rPr>
                <w:rFonts w:hint="eastAsia" w:ascii="宋体" w:hAnsi="宋体" w:eastAsia="宋体" w:cs="宋体"/>
                <w:sz w:val="24"/>
                <w:szCs w:val="24"/>
              </w:rPr>
            </w:pPr>
            <w:r>
              <w:rPr>
                <w:rFonts w:hint="eastAsia" w:ascii="宋体" w:hAnsi="宋体" w:eastAsia="宋体" w:cs="宋体"/>
                <w:sz w:val="24"/>
                <w:szCs w:val="24"/>
              </w:rPr>
              <w:t>1）在企业管理手册、程序文件中包括了：管理方针、体系覆盖范围的描述、管理目标、主要要素、过程及其相互作用的描述，以及相关文件查询途径。</w:t>
            </w:r>
          </w:p>
          <w:p>
            <w:pPr>
              <w:spacing w:line="360" w:lineRule="auto"/>
              <w:rPr>
                <w:rFonts w:hint="eastAsia" w:ascii="宋体" w:hAnsi="宋体" w:eastAsia="宋体" w:cs="宋体"/>
                <w:sz w:val="24"/>
                <w:szCs w:val="24"/>
              </w:rPr>
            </w:pPr>
            <w:r>
              <w:rPr>
                <w:rFonts w:hint="eastAsia" w:ascii="宋体" w:hAnsi="宋体" w:eastAsia="宋体" w:cs="宋体"/>
                <w:sz w:val="24"/>
                <w:szCs w:val="24"/>
              </w:rPr>
              <w:t>2）编制了涉及环境体系过程所需体系有效运行所需管理制度；</w:t>
            </w:r>
          </w:p>
          <w:p>
            <w:pPr>
              <w:spacing w:line="360" w:lineRule="auto"/>
              <w:rPr>
                <w:rFonts w:hint="eastAsia" w:ascii="宋体" w:hAnsi="宋体" w:eastAsia="宋体" w:cs="宋体"/>
                <w:sz w:val="24"/>
                <w:szCs w:val="24"/>
              </w:rPr>
            </w:pPr>
            <w:r>
              <w:rPr>
                <w:rFonts w:hint="eastAsia" w:ascii="宋体" w:hAnsi="宋体" w:eastAsia="宋体" w:cs="宋体"/>
                <w:sz w:val="24"/>
                <w:szCs w:val="24"/>
              </w:rPr>
              <w:t>3）收集了有关外来文件；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4）策划了有关体系运行的记录。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企业编制了以上文件经总经理祝海峰批准，于2019年1月1日发布实施。</w:t>
            </w:r>
          </w:p>
          <w:p>
            <w:pPr>
              <w:spacing w:line="360" w:lineRule="auto"/>
              <w:rPr>
                <w:rFonts w:hint="eastAsia" w:ascii="宋体" w:hAnsi="宋体" w:eastAsia="宋体" w:cs="宋体"/>
                <w:sz w:val="24"/>
                <w:szCs w:val="24"/>
              </w:rPr>
            </w:pPr>
            <w:r>
              <w:rPr>
                <w:rFonts w:hint="eastAsia" w:ascii="宋体" w:hAnsi="宋体" w:eastAsia="宋体" w:cs="宋体"/>
                <w:sz w:val="24"/>
                <w:szCs w:val="24"/>
              </w:rPr>
              <w:t>企业手册依据标准的要求，对企业适用情况进行了描述。</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08"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文件控制</w:t>
            </w:r>
          </w:p>
        </w:tc>
        <w:tc>
          <w:tcPr>
            <w:tcW w:w="968"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7.5.2</w:t>
            </w:r>
          </w:p>
          <w:p>
            <w:pPr>
              <w:spacing w:line="360" w:lineRule="auto"/>
              <w:rPr>
                <w:rFonts w:hint="eastAsia" w:ascii="宋体" w:hAnsi="宋体" w:eastAsia="宋体" w:cs="宋体"/>
                <w:sz w:val="24"/>
                <w:szCs w:val="24"/>
              </w:rPr>
            </w:pPr>
            <w:r>
              <w:rPr>
                <w:rFonts w:hint="eastAsia" w:ascii="宋体" w:hAnsi="宋体" w:eastAsia="宋体" w:cs="宋体"/>
                <w:sz w:val="24"/>
                <w:szCs w:val="24"/>
              </w:rPr>
              <w:t>7.5.3</w:t>
            </w:r>
          </w:p>
        </w:tc>
        <w:tc>
          <w:tcPr>
            <w:tcW w:w="1097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企业编制了《文件控制程序》、《记录控制程序》，规定了有关企业文件、记录编制、标识、外来文件的收集编制、控制、管理要求。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为确保企业体系文件的适宜性和充分性，规定了企业文件资料的标识、格式、评审和批准的要求。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查企业提供的《环境管理手册》，查阅文审部分已经进行了修改，经过批准后进行更改。一阶段问题已整改有效，文件均为打印文稿，保持清晰，易于识别。</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企业提供了针对以上文件的《文件发放记录》，记录了以上有关体系文件的发放情况。 </w:t>
            </w:r>
          </w:p>
          <w:p>
            <w:pPr>
              <w:spacing w:line="360" w:lineRule="auto"/>
              <w:rPr>
                <w:rFonts w:hint="eastAsia" w:ascii="宋体" w:hAnsi="宋体" w:eastAsia="宋体" w:cs="宋体"/>
                <w:sz w:val="24"/>
                <w:szCs w:val="24"/>
              </w:rPr>
            </w:pPr>
            <w:r>
              <w:rPr>
                <w:rFonts w:hint="eastAsia" w:ascii="宋体" w:hAnsi="宋体" w:eastAsia="宋体" w:cs="宋体"/>
                <w:sz w:val="24"/>
                <w:szCs w:val="24"/>
              </w:rPr>
              <w:t>提供了《法律法规清单》列入了相关环境法规外来文件，并形成文件的信息的控制。对以上进行识别、收集。</w:t>
            </w:r>
          </w:p>
          <w:p>
            <w:pPr>
              <w:spacing w:line="360" w:lineRule="auto"/>
              <w:rPr>
                <w:rFonts w:hint="eastAsia" w:ascii="宋体" w:hAnsi="宋体" w:eastAsia="宋体" w:cs="宋体"/>
                <w:sz w:val="24"/>
                <w:szCs w:val="24"/>
              </w:rPr>
            </w:pPr>
            <w:r>
              <w:rPr>
                <w:rFonts w:hint="eastAsia" w:ascii="宋体" w:hAnsi="宋体" w:eastAsia="宋体" w:cs="宋体"/>
                <w:sz w:val="24"/>
                <w:szCs w:val="24"/>
              </w:rPr>
              <w:t>由人力部负责通过到主管部门、网上收集、标准发布部门进行购买，并对外来文件的识别、跟踪、控制。</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查《记录清单》包括了标准要求的环保管理体系运行方面的记录。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记录的保存部门、保存时间；赋予记录名称、编号、受控状态，有利于检索； </w:t>
            </w:r>
          </w:p>
          <w:p>
            <w:pPr>
              <w:spacing w:line="360" w:lineRule="auto"/>
              <w:rPr>
                <w:rFonts w:hint="eastAsia" w:ascii="宋体" w:hAnsi="宋体" w:eastAsia="宋体" w:cs="宋体"/>
                <w:sz w:val="24"/>
                <w:szCs w:val="24"/>
              </w:rPr>
            </w:pPr>
            <w:r>
              <w:rPr>
                <w:rFonts w:hint="eastAsia" w:ascii="宋体" w:hAnsi="宋体" w:eastAsia="宋体" w:cs="宋体"/>
                <w:sz w:val="24"/>
                <w:szCs w:val="24"/>
              </w:rPr>
              <w:t>上述记录填写清楚，签字明确，标识清楚，易于检索。</w:t>
            </w:r>
          </w:p>
          <w:p>
            <w:pPr>
              <w:spacing w:line="360" w:lineRule="auto"/>
              <w:rPr>
                <w:rFonts w:hint="eastAsia" w:ascii="宋体" w:hAnsi="宋体" w:eastAsia="宋体" w:cs="宋体"/>
                <w:sz w:val="24"/>
                <w:szCs w:val="24"/>
              </w:rPr>
            </w:pPr>
            <w:r>
              <w:rPr>
                <w:rFonts w:hint="eastAsia" w:ascii="宋体" w:hAnsi="宋体" w:eastAsia="宋体" w:cs="宋体"/>
                <w:sz w:val="24"/>
                <w:szCs w:val="24"/>
              </w:rPr>
              <w:t>未出现更改、借阅、处置等情况。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公司统一进行储存在资料室柜，记录保存在保护良好，自体系运行以来尚未处理。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目前尚无记录作废情况发生。</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0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运行策划和控制、</w:t>
            </w:r>
          </w:p>
        </w:tc>
        <w:tc>
          <w:tcPr>
            <w:tcW w:w="968" w:type="dxa"/>
            <w:vAlign w:val="center"/>
          </w:tcPr>
          <w:p>
            <w:pPr>
              <w:spacing w:line="360" w:lineRule="auto"/>
              <w:rPr>
                <w:rFonts w:hint="eastAsia"/>
              </w:rPr>
            </w:pPr>
            <w:r>
              <w:rPr>
                <w:rFonts w:hint="eastAsia" w:ascii="宋体" w:hAnsi="宋体" w:eastAsia="宋体" w:cs="宋体"/>
                <w:bCs/>
                <w:spacing w:val="10"/>
                <w:kern w:val="2"/>
                <w:sz w:val="24"/>
                <w:szCs w:val="24"/>
                <w:lang w:val="en-US" w:eastAsia="zh-CN" w:bidi="ar-SA"/>
              </w:rPr>
              <w:t xml:space="preserve">E8.1 </w:t>
            </w:r>
            <w:r>
              <w:rPr>
                <w:rFonts w:hint="eastAsia"/>
              </w:rPr>
              <w:t xml:space="preserve"> </w:t>
            </w:r>
          </w:p>
          <w:p>
            <w:pPr>
              <w:pStyle w:val="2"/>
              <w:rPr>
                <w:rFonts w:hint="default" w:eastAsia="宋体"/>
                <w:lang w:val="en-US" w:eastAsia="zh-CN"/>
              </w:rPr>
            </w:pPr>
            <w:r>
              <w:rPr>
                <w:rFonts w:hint="eastAsia" w:ascii="宋体" w:hAnsi="宋体" w:cs="宋体"/>
                <w:sz w:val="24"/>
                <w:szCs w:val="24"/>
                <w:lang w:val="en-US" w:eastAsia="zh-CN"/>
              </w:rPr>
              <w:t>8.2</w:t>
            </w:r>
          </w:p>
        </w:tc>
        <w:tc>
          <w:tcPr>
            <w:tcW w:w="10978"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公司制定并实施了《环境管理控制程序》、《固体废弃物污染防治控制程序》、《废水污染防治控制程序》、《噪声防治污染控制程序》、《能源资源管理控制程序》等环境管理程序。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按公司要求人走关灯，办公室内电脑要求人走后电源切断。办公室内垃圾主要包含可回收垃圾、硒鼓、废纸。公司配置了垃圾箱，定期清运处理。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对可回收的固体废弃物，一部分由厂家回收，厂家不回收的公司统一回收再利用或由物资回收公司处理。不可回收的废弃物由公司管理研究所统一处理，各部门不得单独处理。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人力部</w:t>
            </w:r>
            <w:bookmarkStart w:id="0" w:name="_GoBack"/>
            <w:bookmarkEnd w:id="0"/>
            <w:r>
              <w:rPr>
                <w:rFonts w:hint="eastAsia" w:ascii="宋体" w:hAnsi="宋体" w:eastAsia="宋体" w:cs="宋体"/>
                <w:sz w:val="24"/>
                <w:szCs w:val="24"/>
              </w:rPr>
              <w:t>内主要是电的使用，电器有漏电保护器，经常对电路、电源进行检查，没有露电现象发生。</w:t>
            </w:r>
            <w:r>
              <w:rPr>
                <w:rFonts w:hint="eastAsia" w:ascii="宋体" w:hAnsi="宋体" w:cs="宋体"/>
                <w:sz w:val="24"/>
                <w:szCs w:val="24"/>
                <w:lang w:val="en-US" w:eastAsia="zh-CN"/>
              </w:rPr>
              <w:t>远程</w:t>
            </w:r>
            <w:r>
              <w:rPr>
                <w:rFonts w:hint="eastAsia" w:ascii="宋体" w:hAnsi="宋体" w:eastAsia="宋体" w:cs="宋体"/>
                <w:sz w:val="24"/>
                <w:szCs w:val="24"/>
              </w:rPr>
              <w:t>巡视办公区域消防栓、灭火器正常，电线、电气插座完整，未见破损，夏天空调设定在26℃，冬天设定在20℃。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人力部人员参与了公司组织的消防应急预案演练，通过演练学到了应急和救援的知识，基本符合。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人力部部门运行控制基本符合规定要求。</w:t>
            </w:r>
          </w:p>
        </w:tc>
        <w:tc>
          <w:tcPr>
            <w:tcW w:w="1155" w:type="dxa"/>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spacing w:line="360" w:lineRule="auto"/>
        <w:rPr>
          <w:rFonts w:ascii="楷体" w:hAnsi="楷体" w:eastAsia="楷体"/>
          <w:sz w:val="24"/>
          <w:szCs w:val="24"/>
        </w:rPr>
      </w:pPr>
      <w:r>
        <w:rPr>
          <w:rFonts w:ascii="楷体" w:hAnsi="楷体" w:eastAsia="楷体"/>
          <w:sz w:val="24"/>
          <w:szCs w:val="24"/>
        </w:rPr>
        <w:ptab w:relativeTo="margin" w:alignment="center" w:leader="none"/>
      </w:r>
    </w:p>
    <w:p>
      <w:pPr>
        <w:pStyle w:val="8"/>
        <w:spacing w:line="360" w:lineRule="auto"/>
        <w:rPr>
          <w:rFonts w:ascii="楷体" w:hAnsi="楷体" w:eastAsia="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237F6"/>
    <w:rsid w:val="00033413"/>
    <w:rsid w:val="0003373A"/>
    <w:rsid w:val="000400E2"/>
    <w:rsid w:val="00062E46"/>
    <w:rsid w:val="00063BB1"/>
    <w:rsid w:val="000C0A22"/>
    <w:rsid w:val="000C1976"/>
    <w:rsid w:val="00115B23"/>
    <w:rsid w:val="00167937"/>
    <w:rsid w:val="001A2D7F"/>
    <w:rsid w:val="00287BA9"/>
    <w:rsid w:val="002939AD"/>
    <w:rsid w:val="00337922"/>
    <w:rsid w:val="00340867"/>
    <w:rsid w:val="00380837"/>
    <w:rsid w:val="00394B69"/>
    <w:rsid w:val="003A198A"/>
    <w:rsid w:val="003D1342"/>
    <w:rsid w:val="003D7E9C"/>
    <w:rsid w:val="003E39BA"/>
    <w:rsid w:val="00410403"/>
    <w:rsid w:val="00410914"/>
    <w:rsid w:val="004A322F"/>
    <w:rsid w:val="004B47FD"/>
    <w:rsid w:val="00536930"/>
    <w:rsid w:val="0055626C"/>
    <w:rsid w:val="00564E53"/>
    <w:rsid w:val="005A4064"/>
    <w:rsid w:val="005B59F5"/>
    <w:rsid w:val="005D5659"/>
    <w:rsid w:val="005E1816"/>
    <w:rsid w:val="00600C20"/>
    <w:rsid w:val="0060231E"/>
    <w:rsid w:val="00644FE2"/>
    <w:rsid w:val="0067640C"/>
    <w:rsid w:val="006E678B"/>
    <w:rsid w:val="007757F3"/>
    <w:rsid w:val="007E6AEB"/>
    <w:rsid w:val="008973EE"/>
    <w:rsid w:val="008F2282"/>
    <w:rsid w:val="009043A3"/>
    <w:rsid w:val="00941789"/>
    <w:rsid w:val="009642EC"/>
    <w:rsid w:val="00971600"/>
    <w:rsid w:val="0097346A"/>
    <w:rsid w:val="009973B4"/>
    <w:rsid w:val="009C28C1"/>
    <w:rsid w:val="009C4691"/>
    <w:rsid w:val="009F7EED"/>
    <w:rsid w:val="00A07CB0"/>
    <w:rsid w:val="00A80636"/>
    <w:rsid w:val="00A86BC3"/>
    <w:rsid w:val="00AF0AAB"/>
    <w:rsid w:val="00AF7A3F"/>
    <w:rsid w:val="00B178FB"/>
    <w:rsid w:val="00B971DA"/>
    <w:rsid w:val="00BB5243"/>
    <w:rsid w:val="00BB567A"/>
    <w:rsid w:val="00BE5699"/>
    <w:rsid w:val="00BF597E"/>
    <w:rsid w:val="00BF76CB"/>
    <w:rsid w:val="00C0118A"/>
    <w:rsid w:val="00C51A36"/>
    <w:rsid w:val="00C55228"/>
    <w:rsid w:val="00C67DA9"/>
    <w:rsid w:val="00CC312B"/>
    <w:rsid w:val="00CE315A"/>
    <w:rsid w:val="00CF7B08"/>
    <w:rsid w:val="00D033FA"/>
    <w:rsid w:val="00D06F59"/>
    <w:rsid w:val="00D731B0"/>
    <w:rsid w:val="00D73F8B"/>
    <w:rsid w:val="00D8388C"/>
    <w:rsid w:val="00E37910"/>
    <w:rsid w:val="00E407A5"/>
    <w:rsid w:val="00E6224C"/>
    <w:rsid w:val="00EB0164"/>
    <w:rsid w:val="00EC7076"/>
    <w:rsid w:val="00ED0F62"/>
    <w:rsid w:val="00EF39D1"/>
    <w:rsid w:val="00F20E5F"/>
    <w:rsid w:val="00F80F1C"/>
    <w:rsid w:val="00FD2243"/>
    <w:rsid w:val="01283A58"/>
    <w:rsid w:val="052D4643"/>
    <w:rsid w:val="06CA6B4A"/>
    <w:rsid w:val="08F74C3C"/>
    <w:rsid w:val="0BFE20C2"/>
    <w:rsid w:val="108219C2"/>
    <w:rsid w:val="11C85183"/>
    <w:rsid w:val="1A050FCC"/>
    <w:rsid w:val="261D4DB3"/>
    <w:rsid w:val="2C0A469E"/>
    <w:rsid w:val="2D2C2FE9"/>
    <w:rsid w:val="34E54193"/>
    <w:rsid w:val="37893FD3"/>
    <w:rsid w:val="3C0E5144"/>
    <w:rsid w:val="46A05244"/>
    <w:rsid w:val="4BEB3BEE"/>
    <w:rsid w:val="4DB72E73"/>
    <w:rsid w:val="505C3145"/>
    <w:rsid w:val="524F053D"/>
    <w:rsid w:val="582F271D"/>
    <w:rsid w:val="5AAF6A77"/>
    <w:rsid w:val="5EA12B9A"/>
    <w:rsid w:val="663E594B"/>
    <w:rsid w:val="66EB6CF4"/>
    <w:rsid w:val="74503D33"/>
    <w:rsid w:val="788E14E0"/>
    <w:rsid w:val="7B307D45"/>
    <w:rsid w:val="7B335210"/>
    <w:rsid w:val="7D142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jc w:val="center"/>
    </w:pPr>
    <w:rPr>
      <w:sz w:val="18"/>
    </w:rPr>
  </w:style>
  <w:style w:type="paragraph" w:styleId="6">
    <w:name w:val="Plain Text"/>
    <w:basedOn w:val="1"/>
    <w:qFormat/>
    <w:uiPriority w:val="0"/>
    <w:rPr>
      <w:rFonts w:ascii="宋体" w:hAnsi="Courier New"/>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370</Words>
  <Characters>2113</Characters>
  <Lines>17</Lines>
  <Paragraphs>4</Paragraphs>
  <TotalTime>4</TotalTime>
  <ScaleCrop>false</ScaleCrop>
  <LinksUpToDate>false</LinksUpToDate>
  <CharactersWithSpaces>2479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2022-10-17T14:50:37Z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B2747BFE5AB648F6ACFD02466F548A32</vt:lpwstr>
  </property>
</Properties>
</file>