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湖北国建工程有限公司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朱松柏、冯虎、刘珍等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王琳，张亮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2023年01月07日 上午至2023年01月07日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91420303MA49EYFT46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2020.4.10-长期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：市政工程、环保工程、房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屋</w:t>
            </w:r>
            <w:r>
              <w:rPr>
                <w:rFonts w:hint="eastAsia"/>
                <w:color w:val="000000"/>
                <w:szCs w:val="21"/>
              </w:rPr>
              <w:t>建筑工程、公路工程。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钢</w:t>
            </w:r>
            <w:r>
              <w:rPr>
                <w:rFonts w:hint="eastAsia"/>
                <w:color w:val="000000"/>
                <w:szCs w:val="21"/>
              </w:rPr>
              <w:t>结构工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程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园林绿化工程，</w:t>
            </w:r>
            <w:r>
              <w:rPr>
                <w:rFonts w:hint="eastAsia"/>
                <w:color w:val="000000"/>
                <w:szCs w:val="21"/>
              </w:rPr>
              <w:t>河湖治理工程，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建筑装饰</w:t>
            </w:r>
            <w:r>
              <w:rPr>
                <w:rFonts w:hint="eastAsia"/>
                <w:color w:val="000000"/>
                <w:szCs w:val="21"/>
              </w:rPr>
              <w:t>装修工程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D342337762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至2025年9月1日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：建筑工程施工总承包参级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市政公用工程施工总承包参级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机电工程施工总承包参级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桥梁工程专业承包参级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r>
              <w:t>EC：资质范围内的建筑工程施工总承包、市政公用工程施工总承包</w:t>
            </w:r>
          </w:p>
          <w:p>
            <w:r>
              <w:t>E：资质范围内的建筑工程施工总承包、市政公用工程施工总承包所涉及场所的相关环境管理活动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t>O：资质范围内的建筑工程施工总承包、市政公用工程施工总承包所涉及场所的相关职业健康安全管理活动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：(鄂)J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Z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安许证字[2021]048483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2024.1.8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建筑工程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湖北省十堰市张湾区车城道街道田沟巷6号9幢1-7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十堰市北京路柳林春晓18号楼二单元301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bookmarkStart w:id="6" w:name="_GoBack"/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lang w:val="en-US" w:eastAsia="zh-CN"/>
              </w:rPr>
              <w:t>项目名称：</w:t>
            </w:r>
            <w:r>
              <w:rPr>
                <w:rFonts w:hint="eastAsia"/>
                <w:color w:val="auto"/>
              </w:rPr>
              <w:t>十堰市茅箭区四堰社区游园项目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施工地址：</w:t>
            </w:r>
            <w:r>
              <w:rPr>
                <w:rFonts w:hint="eastAsia"/>
                <w:color w:val="auto"/>
              </w:rPr>
              <w:t>十堰市四堰社区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项目名称：</w:t>
            </w:r>
            <w:r>
              <w:rPr>
                <w:rFonts w:hint="eastAsia"/>
                <w:color w:val="auto"/>
              </w:rPr>
              <w:t>大中型水库移民后扶项目（十堰市郧阳区五峰乡红椿沟村环境整治造项目）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施工地址：</w:t>
            </w:r>
            <w:r>
              <w:rPr>
                <w:rFonts w:hint="eastAsia"/>
                <w:color w:val="auto"/>
              </w:rPr>
              <w:t>五峰乡红椿沟村</w:t>
            </w:r>
          </w:p>
          <w:bookmarkEnd w:id="6"/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施工流程：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drawing>
                <wp:inline distT="0" distB="0" distL="114300" distR="114300">
                  <wp:extent cx="2730500" cy="3797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379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设备租赁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  <w:t>科技为先、质量为本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  <w:t>精心施工、用户满意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en-US" w:eastAsia="zh-CN"/>
              </w:rPr>
              <w:t>安全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  <w:t>施工、保护环境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u w:val="single"/>
                <w:lang w:val="zh-CN"/>
              </w:rPr>
              <w:t>诚实守信、持续创新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11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工程竣工一次交验合格率≥95%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竣工项目验收合格的数目目/报验项目*100%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工程竣工一次交验合格率9</w:t>
                  </w:r>
                  <w:r>
                    <w:rPr>
                      <w:rFonts w:ascii="宋体" w:hAnsi="宋体"/>
                      <w:szCs w:val="21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合同履约率≥92%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符合合同要求的数目/合同总数量*100%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合同履约率</w:t>
                  </w:r>
                  <w:r>
                    <w:rPr>
                      <w:rFonts w:ascii="宋体" w:hAnsi="宋体"/>
                      <w:szCs w:val="21"/>
                    </w:rPr>
                    <w:t>98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顾客满意率9</w:t>
                  </w:r>
                  <w:r>
                    <w:rPr>
                      <w:rFonts w:ascii="宋体" w:hAnsi="宋体"/>
                      <w:szCs w:val="21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施工噪声控制符合国家标准：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施工现场噪声: ≤75昼间;  ≤55夜间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施工扬尘控制达到国家标准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施工垃圾固体废弃物达标排放: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有害废弃物控制率100%，2)一般废弃物控制率≥90%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实际处理的次数/规定需处理的次数*100%</w:t>
                  </w:r>
                </w:p>
              </w:tc>
              <w:tc>
                <w:tcPr>
                  <w:tcW w:w="2444" w:type="dxa"/>
                </w:tcPr>
                <w:p>
                  <w:pPr>
                    <w:spacing w:line="5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施工垃圾固体废弃物达标排放: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 1)有害废弃物控制率100%，2)一般废弃物控制率9</w:t>
                  </w:r>
                  <w:r>
                    <w:rPr>
                      <w:rFonts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人员安全保证率 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spacing w:line="500" w:lineRule="exact"/>
                    <w:ind w:firstLine="411" w:firstLineChars="196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职业健康安全事故：火灾、触电事故为零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施工过程重伤率为零，轻伤事故＜3%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cya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14-15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GB/T50430-2017标准的10.3“工程设计”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GB/T19001-2016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中8.3条款“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设计与开发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”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根据建设施工行业管理规定,从事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资质范围内的建筑工程施工总承包、市政公用工程施工总承包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按照施工图纸和标准规范进行施工，不负责工程设计，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因此 GB/T50430-2017标准的10.3“工程设计”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GB/T19001-2016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中8.3条款“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设计与开发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6"/>
                <w:sz w:val="21"/>
                <w:szCs w:val="21"/>
              </w:rPr>
              <w:t>”过程不适用于本公司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市政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公用工程（道路）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土石方路基、挖石方路基、水泥稳定基层施工、沥青混泥土面层施工、给排水施工等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Theme="majorEastAsia" w:hAnsiTheme="majorEastAsia" w:eastAsiaTheme="majorEastAsia" w:cstheme="majorEastAsia"/>
                <w:color w:val="00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相关控制参数名称：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原材料进场、施工过程、验收过程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、建筑工程：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1）基础工程方面包括：土方工程，混凝土灌注桩浇注，地下连续墙，土钉墙，后浇带及其他结构混凝土，防水混凝土浇筑，卷材防水层细部构造处理，钢结构安装。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2）主体结构工程方面包括：梁柱节点钢筋隐蔽工程，混凝土浇注，预应力张拉，装配式结构安装，钢结构安装，网架结构安装，索膜安装。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3）其它方面包括：外墙外保温施工，脚手架安拆，大型机械设备安拆。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原材料进场、施工过程、验收过程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pStyle w:val="4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需要确认的过程（工序）：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根据具体项目确定。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目前识别的有：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市政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公用工程（道路）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u w:val="single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路面稳定基层混合料配合比控制、橡胶沥青现场制备过程控制、沥青混合料拌合参数控制、沥青混合料摊铺及碾压参数控制等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建筑工程：焊接、大体积混凝土浇筑、吊桩、钢结构防腐、防水工程等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近一年顾客满意度的情况，2022年</w:t>
            </w:r>
            <w:r>
              <w:rPr>
                <w:rFonts w:hint="eastAsia"/>
                <w:color w:val="000000"/>
                <w:lang w:val="en-US" w:eastAsia="zh-CN"/>
              </w:rPr>
              <w:t>度</w:t>
            </w:r>
            <w:r>
              <w:rPr>
                <w:rFonts w:hint="eastAsia"/>
                <w:color w:val="000000"/>
              </w:rPr>
              <w:t>检查9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 xml:space="preserve">%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办公经营地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施工现场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施工现场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摊铺机、挖掘机、压路机、起重机、热熔焊机、钢筋弯曲机、钢筋切断机、套丝机等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水准仪、经纬仪、钢卷尺、垂准仪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2022.6.18日进行了火灾应急演练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雾炮、防尘网、轮胎清洗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</w:rPr>
              <w:t>(鄂)J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Z</w:t>
            </w:r>
            <w:r>
              <w:rPr>
                <w:rFonts w:hint="eastAsia"/>
                <w:color w:val="000000"/>
                <w:szCs w:val="21"/>
                <w:u w:val="single"/>
              </w:rPr>
              <w:t>安许证字[2021]048483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lang w:val="en-US" w:eastAsia="zh-CN"/>
              </w:rPr>
              <w:t>建筑工程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2022.6.18日进行了火灾应急演练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施工现场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</w:rPr>
              <w:t>危险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高处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雾炮、轮胎清洗、防尘网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BA1476"/>
    <w:multiLevelType w:val="singleLevel"/>
    <w:tmpl w:val="63BA14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E2459"/>
    <w:rsid w:val="42BF374A"/>
    <w:rsid w:val="44D16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djustRightInd w:val="0"/>
      <w:spacing w:line="312" w:lineRule="atLeast"/>
      <w:jc w:val="right"/>
    </w:pPr>
  </w:style>
  <w:style w:type="paragraph" w:styleId="4">
    <w:name w:val="Body Text 3"/>
    <w:basedOn w:val="1"/>
    <w:unhideWhenUsed/>
    <w:uiPriority w:val="99"/>
    <w:pPr>
      <w:spacing w:after="120"/>
    </w:pPr>
    <w:rPr>
      <w:rFonts w:eastAsia="仿宋_GB2312"/>
      <w:sz w:val="16"/>
      <w:szCs w:val="16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2023-01-10T06:47:03Z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