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四川润杰物业管理有限公司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t>35.15.00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35.15.00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微信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129540</wp:posOffset>
                  </wp:positionV>
                  <wp:extent cx="544830" cy="248920"/>
                  <wp:effectExtent l="0" t="0" r="3810" b="10160"/>
                  <wp:wrapNone/>
                  <wp:docPr id="8" name="图片 8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业务洽谈→合同评审→签订合同→物业管理→检验→顾客满意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物业管理服务，服务态度，沟通，顾客满意度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中华人民共和国产品质量法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中华人民共和国计量法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中华人民共和国标准化法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中华人民共和国民法典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中华人民共和国劳动法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中华人民共和国劳动合同法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四川省物业管理条例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城市生活垃圾管理办法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物业管理条例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288925</wp:posOffset>
                  </wp:positionV>
                  <wp:extent cx="525780" cy="281940"/>
                  <wp:effectExtent l="0" t="0" r="7620" b="7620"/>
                  <wp:wrapNone/>
                  <wp:docPr id="23" name="图片 23" descr="61d96b79c831aa12c565ea157e3f6c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61d96b79c831aa12c565ea157e3f6c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8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2022年10月23日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168275</wp:posOffset>
                  </wp:positionV>
                  <wp:extent cx="544830" cy="248920"/>
                  <wp:effectExtent l="0" t="0" r="3810" b="10160"/>
                  <wp:wrapNone/>
                  <wp:docPr id="1" name="图片 1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2022年10月23日</w:t>
            </w:r>
            <w:bookmarkStart w:id="3" w:name="_GoBack"/>
            <w:bookmarkEnd w:id="3"/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466940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718</Words>
  <Characters>740</Characters>
  <Lines>2</Lines>
  <Paragraphs>1</Paragraphs>
  <TotalTime>0</TotalTime>
  <ScaleCrop>false</ScaleCrop>
  <LinksUpToDate>false</LinksUpToDate>
  <CharactersWithSpaces>744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2022-10-24T02:23:32Z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2052-11.1.0.12598</vt:lpwstr>
  </property>
</Properties>
</file>