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陕西西咸新区物业集团有限公司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9161110009402116X9</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Q:150,E:150,O:150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240" w:lineRule="auto"/>
              <w:jc w:val="left"/>
              <w:rPr>
                <w:sz w:val="22"/>
                <w:szCs w:val="22"/>
              </w:rPr>
            </w:pPr>
          </w:p>
        </w:tc>
        <w:tc>
          <w:tcPr>
            <w:tcW w:w="3373" w:type="dxa"/>
          </w:tcPr>
          <w:p>
            <w:pPr>
              <w:snapToGrid w:val="0"/>
              <w:spacing w:line="240" w:lineRule="auto"/>
              <w:jc w:val="left"/>
              <w:rPr>
                <w:sz w:val="22"/>
                <w:szCs w:val="22"/>
              </w:rPr>
            </w:pPr>
            <w:r>
              <w:rPr>
                <w:rFonts w:hint="eastAsia"/>
                <w:sz w:val="22"/>
                <w:szCs w:val="22"/>
                <w:lang w:val="en-GB"/>
              </w:rPr>
              <w:t>中文公司名称及地址</w:t>
            </w:r>
          </w:p>
        </w:tc>
        <w:tc>
          <w:tcPr>
            <w:tcW w:w="5013" w:type="dxa"/>
            <w:gridSpan w:val="4"/>
          </w:tcPr>
          <w:p>
            <w:pPr>
              <w:snapToGrid w:val="0"/>
              <w:spacing w:line="240" w:lineRule="auto"/>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240" w:lineRule="auto"/>
              <w:jc w:val="left"/>
              <w:rPr>
                <w:sz w:val="22"/>
                <w:szCs w:val="22"/>
              </w:rPr>
            </w:pPr>
            <w:r>
              <w:rPr>
                <w:rFonts w:hint="eastAsia"/>
                <w:sz w:val="22"/>
                <w:szCs w:val="22"/>
                <w:lang w:val="en-GB"/>
              </w:rPr>
              <w:t>公司名称</w:t>
            </w:r>
          </w:p>
        </w:tc>
        <w:tc>
          <w:tcPr>
            <w:tcW w:w="3373" w:type="dxa"/>
            <w:vMerge w:val="restart"/>
          </w:tcPr>
          <w:p>
            <w:pPr>
              <w:snapToGrid w:val="0"/>
              <w:spacing w:line="240" w:lineRule="auto"/>
              <w:jc w:val="left"/>
              <w:rPr>
                <w:color w:val="0000FF"/>
                <w:sz w:val="22"/>
                <w:szCs w:val="22"/>
                <w:lang w:val="en-GB"/>
              </w:rPr>
            </w:pPr>
            <w:bookmarkStart w:id="18" w:name="组织名称Add1"/>
            <w:r>
              <w:rPr>
                <w:rFonts w:hint="eastAsia"/>
                <w:color w:val="0000FF"/>
                <w:sz w:val="22"/>
                <w:szCs w:val="22"/>
              </w:rPr>
              <w:t>陕西西咸新区物业集团有限公司</w:t>
            </w:r>
            <w:bookmarkEnd w:id="18"/>
          </w:p>
        </w:tc>
        <w:tc>
          <w:tcPr>
            <w:tcW w:w="5013" w:type="dxa"/>
            <w:gridSpan w:val="4"/>
            <w:vMerge w:val="restart"/>
          </w:tcPr>
          <w:p>
            <w:pPr>
              <w:snapToGrid w:val="0"/>
              <w:spacing w:line="240" w:lineRule="auto"/>
              <w:jc w:val="left"/>
              <w:rPr>
                <w:color w:val="0000FF"/>
                <w:sz w:val="22"/>
                <w:szCs w:val="22"/>
              </w:rPr>
            </w:pPr>
            <w:bookmarkStart w:id="19" w:name="审核范围"/>
            <w:r>
              <w:rPr>
                <w:color w:val="0000FF"/>
                <w:sz w:val="22"/>
                <w:szCs w:val="22"/>
              </w:rPr>
              <w:t>Q：物业管理服务</w:t>
            </w:r>
          </w:p>
          <w:p>
            <w:pPr>
              <w:snapToGrid w:val="0"/>
              <w:spacing w:line="240" w:lineRule="auto"/>
              <w:jc w:val="left"/>
              <w:rPr>
                <w:color w:val="0000FF"/>
                <w:sz w:val="22"/>
                <w:szCs w:val="22"/>
              </w:rPr>
            </w:pPr>
            <w:r>
              <w:rPr>
                <w:color w:val="0000FF"/>
                <w:sz w:val="22"/>
                <w:szCs w:val="22"/>
              </w:rPr>
              <w:t>E：物业管理服务所涉及场所的相关环境管理活动</w:t>
            </w:r>
          </w:p>
          <w:p>
            <w:pPr>
              <w:snapToGrid w:val="0"/>
              <w:spacing w:line="240" w:lineRule="auto"/>
              <w:jc w:val="left"/>
              <w:rPr>
                <w:sz w:val="22"/>
                <w:szCs w:val="22"/>
              </w:rPr>
            </w:pPr>
            <w:r>
              <w:rPr>
                <w:color w:val="0000FF"/>
                <w:sz w:val="22"/>
                <w:szCs w:val="22"/>
              </w:rPr>
              <w:t>O：物业管理服务所涉及场所的相关职业健康安全管理活动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240" w:lineRule="auto"/>
              <w:jc w:val="left"/>
              <w:rPr>
                <w:sz w:val="22"/>
                <w:szCs w:val="22"/>
              </w:rPr>
            </w:pPr>
            <w:r>
              <w:rPr>
                <w:rFonts w:hint="eastAsia"/>
                <w:sz w:val="22"/>
                <w:szCs w:val="22"/>
                <w:lang w:val="en-GB"/>
              </w:rPr>
              <w:t>注册地址</w:t>
            </w:r>
          </w:p>
        </w:tc>
        <w:tc>
          <w:tcPr>
            <w:tcW w:w="3373" w:type="dxa"/>
          </w:tcPr>
          <w:p>
            <w:pPr>
              <w:snapToGrid w:val="0"/>
              <w:spacing w:line="240" w:lineRule="auto"/>
              <w:jc w:val="left"/>
              <w:rPr>
                <w:color w:val="0000FF"/>
                <w:sz w:val="22"/>
                <w:szCs w:val="22"/>
              </w:rPr>
            </w:pPr>
            <w:bookmarkStart w:id="20" w:name="注册地址"/>
            <w:r>
              <w:rPr>
                <w:rFonts w:hint="eastAsia"/>
                <w:color w:val="0000FF"/>
                <w:sz w:val="22"/>
                <w:szCs w:val="22"/>
                <w:lang w:val="en-GB"/>
              </w:rPr>
              <w:t>陕西省西咸新区沣东新城扶苏路3号艺墅大厦</w:t>
            </w:r>
            <w:bookmarkEnd w:id="20"/>
          </w:p>
        </w:tc>
        <w:tc>
          <w:tcPr>
            <w:tcW w:w="5013" w:type="dxa"/>
            <w:gridSpan w:val="4"/>
            <w:vMerge w:val="continue"/>
          </w:tcPr>
          <w:p>
            <w:pPr>
              <w:snapToGrid w:val="0"/>
              <w:spacing w:line="240" w:lineRule="auto"/>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240" w:lineRule="auto"/>
              <w:jc w:val="left"/>
              <w:rPr>
                <w:sz w:val="22"/>
                <w:szCs w:val="22"/>
                <w:lang w:val="en-GB"/>
              </w:rPr>
            </w:pPr>
            <w:r>
              <w:rPr>
                <w:rFonts w:hint="eastAsia"/>
                <w:sz w:val="22"/>
                <w:szCs w:val="22"/>
                <w:lang w:val="en-GB"/>
              </w:rPr>
              <w:t>经营地址</w:t>
            </w:r>
          </w:p>
        </w:tc>
        <w:tc>
          <w:tcPr>
            <w:tcW w:w="3373" w:type="dxa"/>
          </w:tcPr>
          <w:p>
            <w:pPr>
              <w:snapToGrid w:val="0"/>
              <w:spacing w:line="240" w:lineRule="auto"/>
              <w:jc w:val="left"/>
              <w:rPr>
                <w:color w:val="0000FF"/>
                <w:sz w:val="22"/>
                <w:szCs w:val="22"/>
              </w:rPr>
            </w:pPr>
            <w:bookmarkStart w:id="21" w:name="办公地址"/>
            <w:r>
              <w:rPr>
                <w:rFonts w:hint="eastAsia"/>
                <w:color w:val="0000FF"/>
                <w:sz w:val="22"/>
                <w:szCs w:val="22"/>
                <w:lang w:val="en-GB"/>
              </w:rPr>
              <w:t>陕西省西咸新区沣东新城扶苏路3号艺墅大厦</w:t>
            </w:r>
            <w:bookmarkEnd w:id="21"/>
          </w:p>
        </w:tc>
        <w:tc>
          <w:tcPr>
            <w:tcW w:w="5013" w:type="dxa"/>
            <w:gridSpan w:val="4"/>
            <w:vMerge w:val="continue"/>
          </w:tcPr>
          <w:p>
            <w:pPr>
              <w:snapToGrid w:val="0"/>
              <w:spacing w:line="240" w:lineRule="auto"/>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240" w:lineRule="auto"/>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240" w:lineRule="auto"/>
              <w:jc w:val="left"/>
              <w:rPr>
                <w:sz w:val="22"/>
                <w:szCs w:val="22"/>
              </w:rPr>
            </w:pPr>
          </w:p>
        </w:tc>
        <w:tc>
          <w:tcPr>
            <w:tcW w:w="3373" w:type="dxa"/>
          </w:tcPr>
          <w:p>
            <w:pPr>
              <w:snapToGrid w:val="0"/>
              <w:spacing w:line="240" w:lineRule="auto"/>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240" w:lineRule="auto"/>
              <w:jc w:val="left"/>
              <w:rPr>
                <w:sz w:val="22"/>
                <w:szCs w:val="22"/>
                <w:lang w:val="en-GB"/>
              </w:rPr>
            </w:pPr>
            <w:r>
              <w:rPr>
                <w:rFonts w:hint="eastAsia"/>
                <w:sz w:val="22"/>
                <w:szCs w:val="22"/>
                <w:lang w:val="en-GB"/>
              </w:rPr>
              <w:t xml:space="preserve">英文认证范围                </w:t>
            </w:r>
          </w:p>
          <w:p>
            <w:pPr>
              <w:snapToGrid w:val="0"/>
              <w:spacing w:line="240" w:lineRule="auto"/>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240" w:lineRule="auto"/>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240" w:lineRule="auto"/>
              <w:jc w:val="left"/>
              <w:rPr>
                <w:color w:val="0000FF"/>
                <w:sz w:val="22"/>
                <w:szCs w:val="22"/>
              </w:rPr>
            </w:pPr>
            <w:r>
              <w:rPr>
                <w:rFonts w:cs="Arial"/>
                <w:b/>
                <w:bCs/>
                <w:color w:val="0000FF"/>
                <w:sz w:val="22"/>
                <w:szCs w:val="16"/>
              </w:rPr>
              <w:t>Shaanxi Xixian New Area Property Group Co.Ltd</w:t>
            </w:r>
          </w:p>
        </w:tc>
        <w:tc>
          <w:tcPr>
            <w:tcW w:w="1337" w:type="dxa"/>
          </w:tcPr>
          <w:p>
            <w:pPr>
              <w:snapToGrid w:val="0"/>
              <w:spacing w:line="240" w:lineRule="auto"/>
              <w:jc w:val="left"/>
              <w:rPr>
                <w:sz w:val="22"/>
                <w:szCs w:val="22"/>
              </w:rPr>
            </w:pPr>
            <w:r>
              <w:rPr>
                <w:rFonts w:hint="eastAsia"/>
                <w:sz w:val="22"/>
                <w:szCs w:val="22"/>
              </w:rPr>
              <w:t>QMS/EcMS</w:t>
            </w:r>
          </w:p>
        </w:tc>
        <w:tc>
          <w:tcPr>
            <w:tcW w:w="3676" w:type="dxa"/>
            <w:gridSpan w:val="3"/>
          </w:tcPr>
          <w:p>
            <w:pPr>
              <w:snapToGrid w:val="0"/>
              <w:spacing w:line="240" w:lineRule="auto"/>
              <w:jc w:val="left"/>
              <w:rPr>
                <w:color w:val="0000FF"/>
                <w:sz w:val="21"/>
                <w:szCs w:val="16"/>
              </w:rPr>
            </w:pPr>
            <w:r>
              <w:rPr>
                <w:rFonts w:hint="eastAsia"/>
                <w:color w:val="0000FF"/>
                <w:sz w:val="22"/>
                <w:szCs w:val="22"/>
                <w:lang w:val="en-US" w:eastAsia="zh-CN"/>
              </w:rPr>
              <w:t>P</w:t>
            </w:r>
            <w:r>
              <w:rPr>
                <w:rFonts w:hint="eastAsia"/>
                <w:color w:val="0000FF"/>
                <w:sz w:val="22"/>
                <w:szCs w:val="22"/>
              </w:rPr>
              <w:t xml:space="preserve">roperty </w:t>
            </w:r>
            <w:r>
              <w:rPr>
                <w:rFonts w:hint="eastAsia"/>
                <w:color w:val="0000FF"/>
                <w:sz w:val="22"/>
                <w:szCs w:val="22"/>
                <w:lang w:val="en-US" w:eastAsia="zh-CN"/>
              </w:rPr>
              <w:t>M</w:t>
            </w:r>
            <w:r>
              <w:rPr>
                <w:rFonts w:hint="eastAsia"/>
                <w:color w:val="0000FF"/>
                <w:sz w:val="22"/>
                <w:szCs w:val="22"/>
              </w:rPr>
              <w:t xml:space="preserve">anagement </w:t>
            </w:r>
            <w:r>
              <w:rPr>
                <w:rFonts w:hint="eastAsia"/>
                <w:color w:val="0000FF"/>
                <w:sz w:val="22"/>
                <w:szCs w:val="22"/>
                <w:lang w:val="en-US" w:eastAsia="zh-CN"/>
              </w:rPr>
              <w:t>S</w:t>
            </w:r>
            <w:r>
              <w:rPr>
                <w:rFonts w:hint="eastAsia"/>
                <w:color w:val="0000FF"/>
                <w:sz w:val="22"/>
                <w:szCs w:val="22"/>
              </w:rPr>
              <w:t>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240" w:lineRule="auto"/>
              <w:jc w:val="left"/>
              <w:rPr>
                <w:rFonts w:cs="Arial"/>
                <w:b/>
                <w:bCs/>
                <w:sz w:val="22"/>
                <w:szCs w:val="16"/>
              </w:rPr>
            </w:pPr>
          </w:p>
        </w:tc>
        <w:tc>
          <w:tcPr>
            <w:tcW w:w="3373" w:type="dxa"/>
            <w:vMerge w:val="continue"/>
          </w:tcPr>
          <w:p>
            <w:pPr>
              <w:snapToGrid w:val="0"/>
              <w:spacing w:line="240" w:lineRule="auto"/>
              <w:jc w:val="left"/>
              <w:rPr>
                <w:rFonts w:cs="Arial"/>
                <w:b/>
                <w:bCs/>
                <w:color w:val="0000FF"/>
                <w:sz w:val="22"/>
                <w:szCs w:val="16"/>
              </w:rPr>
            </w:pPr>
          </w:p>
        </w:tc>
        <w:tc>
          <w:tcPr>
            <w:tcW w:w="1337" w:type="dxa"/>
          </w:tcPr>
          <w:p>
            <w:pPr>
              <w:snapToGrid w:val="0"/>
              <w:spacing w:line="240" w:lineRule="auto"/>
              <w:jc w:val="left"/>
              <w:rPr>
                <w:sz w:val="22"/>
                <w:szCs w:val="22"/>
              </w:rPr>
            </w:pPr>
            <w:r>
              <w:rPr>
                <w:rFonts w:hint="eastAsia"/>
                <w:sz w:val="22"/>
                <w:szCs w:val="22"/>
              </w:rPr>
              <w:t>EMS</w:t>
            </w:r>
          </w:p>
        </w:tc>
        <w:tc>
          <w:tcPr>
            <w:tcW w:w="3676" w:type="dxa"/>
            <w:gridSpan w:val="3"/>
          </w:tcPr>
          <w:p>
            <w:pPr>
              <w:snapToGrid w:val="0"/>
              <w:spacing w:line="240" w:lineRule="auto"/>
              <w:jc w:val="left"/>
              <w:rPr>
                <w:color w:val="0000FF"/>
                <w:sz w:val="21"/>
                <w:szCs w:val="16"/>
              </w:rPr>
            </w:pPr>
            <w:r>
              <w:rPr>
                <w:rFonts w:hint="eastAsia"/>
                <w:color w:val="0000FF"/>
                <w:sz w:val="21"/>
                <w:szCs w:val="16"/>
              </w:rPr>
              <w:t xml:space="preserve">Property </w:t>
            </w:r>
            <w:r>
              <w:rPr>
                <w:rFonts w:hint="eastAsia"/>
                <w:color w:val="0000FF"/>
                <w:sz w:val="21"/>
                <w:szCs w:val="16"/>
                <w:lang w:val="en-US" w:eastAsia="zh-CN"/>
              </w:rPr>
              <w:t>M</w:t>
            </w:r>
            <w:r>
              <w:rPr>
                <w:rFonts w:hint="eastAsia"/>
                <w:color w:val="0000FF"/>
                <w:sz w:val="21"/>
                <w:szCs w:val="16"/>
              </w:rPr>
              <w:t xml:space="preserve">anagement </w:t>
            </w:r>
            <w:r>
              <w:rPr>
                <w:rFonts w:hint="eastAsia"/>
                <w:color w:val="0000FF"/>
                <w:sz w:val="21"/>
                <w:szCs w:val="16"/>
                <w:lang w:val="en-US" w:eastAsia="zh-CN"/>
              </w:rPr>
              <w:t>S</w:t>
            </w:r>
            <w:r>
              <w:rPr>
                <w:rFonts w:hint="eastAsia"/>
                <w:color w:val="0000FF"/>
                <w:sz w:val="21"/>
                <w:szCs w:val="16"/>
              </w:rPr>
              <w:t xml:space="preserve">ervices </w:t>
            </w:r>
            <w:r>
              <w:rPr>
                <w:rFonts w:hint="eastAsia"/>
                <w:color w:val="0000FF"/>
                <w:sz w:val="21"/>
                <w:szCs w:val="16"/>
                <w:lang w:val="en-US" w:eastAsia="zh-CN"/>
              </w:rPr>
              <w:t>I</w:t>
            </w:r>
            <w:r>
              <w:rPr>
                <w:rFonts w:hint="eastAsia"/>
                <w:color w:val="0000FF"/>
                <w:sz w:val="21"/>
                <w:szCs w:val="16"/>
              </w:rPr>
              <w:t xml:space="preserve">nvolved in the </w:t>
            </w:r>
            <w:r>
              <w:rPr>
                <w:rFonts w:hint="eastAsia"/>
                <w:color w:val="0000FF"/>
                <w:sz w:val="21"/>
                <w:szCs w:val="16"/>
                <w:lang w:val="en-US" w:eastAsia="zh-CN"/>
              </w:rPr>
              <w:t>S</w:t>
            </w:r>
            <w:r>
              <w:rPr>
                <w:rFonts w:hint="eastAsia"/>
                <w:color w:val="0000FF"/>
                <w:sz w:val="21"/>
                <w:szCs w:val="16"/>
              </w:rPr>
              <w:t xml:space="preserve">ite of </w:t>
            </w:r>
            <w:r>
              <w:rPr>
                <w:rFonts w:hint="eastAsia"/>
                <w:color w:val="0000FF"/>
                <w:sz w:val="21"/>
                <w:szCs w:val="16"/>
                <w:lang w:val="en-US" w:eastAsia="zh-CN"/>
              </w:rPr>
              <w:t>E</w:t>
            </w:r>
            <w:r>
              <w:rPr>
                <w:rFonts w:hint="eastAsia"/>
                <w:color w:val="0000FF"/>
                <w:sz w:val="21"/>
                <w:szCs w:val="16"/>
              </w:rPr>
              <w:t xml:space="preserve">nvironmental </w:t>
            </w:r>
            <w:r>
              <w:rPr>
                <w:rFonts w:hint="eastAsia"/>
                <w:color w:val="0000FF"/>
                <w:sz w:val="21"/>
                <w:szCs w:val="16"/>
                <w:lang w:val="en-US" w:eastAsia="zh-CN"/>
              </w:rPr>
              <w:t>M</w:t>
            </w:r>
            <w:r>
              <w:rPr>
                <w:rFonts w:hint="eastAsia"/>
                <w:color w:val="0000FF"/>
                <w:sz w:val="21"/>
                <w:szCs w:val="16"/>
              </w:rPr>
              <w:t xml:space="preserve">anagement </w:t>
            </w:r>
            <w:r>
              <w:rPr>
                <w:rFonts w:hint="eastAsia"/>
                <w:color w:val="0000FF"/>
                <w:sz w:val="21"/>
                <w:szCs w:val="16"/>
                <w:lang w:val="en-US" w:eastAsia="zh-CN"/>
              </w:rPr>
              <w:t>A</w:t>
            </w:r>
            <w:r>
              <w:rPr>
                <w:rFonts w:hint="eastAsia"/>
                <w:color w:val="0000FF"/>
                <w:sz w:val="21"/>
                <w:szCs w:val="16"/>
              </w:rPr>
              <w:t>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240" w:lineRule="auto"/>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240" w:lineRule="auto"/>
              <w:jc w:val="left"/>
              <w:rPr>
                <w:color w:val="0000FF"/>
                <w:sz w:val="22"/>
                <w:szCs w:val="22"/>
              </w:rPr>
            </w:pPr>
            <w:r>
              <w:rPr>
                <w:rFonts w:hint="eastAsia" w:cs="Arial"/>
                <w:b/>
                <w:bCs/>
                <w:color w:val="0000FF"/>
                <w:sz w:val="22"/>
                <w:szCs w:val="16"/>
              </w:rPr>
              <w:t>Yishu Building, 3 Fusu Road, Fengdong New Town, Xixian New District, Shaanxi Province</w:t>
            </w:r>
          </w:p>
        </w:tc>
        <w:tc>
          <w:tcPr>
            <w:tcW w:w="1337" w:type="dxa"/>
          </w:tcPr>
          <w:p>
            <w:pPr>
              <w:snapToGrid w:val="0"/>
              <w:spacing w:line="240" w:lineRule="auto"/>
              <w:jc w:val="left"/>
              <w:rPr>
                <w:sz w:val="22"/>
                <w:szCs w:val="22"/>
              </w:rPr>
            </w:pPr>
            <w:r>
              <w:rPr>
                <w:rFonts w:hint="eastAsia"/>
                <w:sz w:val="22"/>
                <w:szCs w:val="22"/>
              </w:rPr>
              <w:t>OHSMS</w:t>
            </w:r>
          </w:p>
        </w:tc>
        <w:tc>
          <w:tcPr>
            <w:tcW w:w="3676" w:type="dxa"/>
            <w:gridSpan w:val="3"/>
          </w:tcPr>
          <w:p>
            <w:pPr>
              <w:snapToGrid w:val="0"/>
              <w:spacing w:line="240" w:lineRule="auto"/>
              <w:jc w:val="left"/>
              <w:rPr>
                <w:color w:val="0000FF"/>
                <w:sz w:val="22"/>
                <w:szCs w:val="22"/>
              </w:rPr>
            </w:pPr>
            <w:r>
              <w:rPr>
                <w:rFonts w:hint="eastAsia"/>
                <w:color w:val="0000FF"/>
                <w:sz w:val="22"/>
                <w:szCs w:val="22"/>
              </w:rPr>
              <w:t xml:space="preserve">Property </w:t>
            </w:r>
            <w:r>
              <w:rPr>
                <w:rFonts w:hint="eastAsia"/>
                <w:color w:val="0000FF"/>
                <w:sz w:val="22"/>
                <w:szCs w:val="22"/>
                <w:lang w:val="en-US" w:eastAsia="zh-CN"/>
              </w:rPr>
              <w:t>M</w:t>
            </w:r>
            <w:r>
              <w:rPr>
                <w:rFonts w:hint="eastAsia"/>
                <w:color w:val="0000FF"/>
                <w:sz w:val="22"/>
                <w:szCs w:val="22"/>
              </w:rPr>
              <w:t xml:space="preserve">anagement </w:t>
            </w:r>
            <w:r>
              <w:rPr>
                <w:rFonts w:hint="eastAsia"/>
                <w:color w:val="0000FF"/>
                <w:sz w:val="22"/>
                <w:szCs w:val="22"/>
                <w:lang w:val="en-US" w:eastAsia="zh-CN"/>
              </w:rPr>
              <w:t>S</w:t>
            </w:r>
            <w:r>
              <w:rPr>
                <w:rFonts w:hint="eastAsia"/>
                <w:color w:val="0000FF"/>
                <w:sz w:val="22"/>
                <w:szCs w:val="22"/>
              </w:rPr>
              <w:t xml:space="preserve">ervices </w:t>
            </w:r>
            <w:r>
              <w:rPr>
                <w:rFonts w:hint="eastAsia"/>
                <w:color w:val="0000FF"/>
                <w:sz w:val="22"/>
                <w:szCs w:val="22"/>
                <w:lang w:val="en-US" w:eastAsia="zh-CN"/>
              </w:rPr>
              <w:t>I</w:t>
            </w:r>
            <w:r>
              <w:rPr>
                <w:rFonts w:hint="eastAsia"/>
                <w:color w:val="0000FF"/>
                <w:sz w:val="22"/>
                <w:szCs w:val="22"/>
              </w:rPr>
              <w:t xml:space="preserve">nvolved in the </w:t>
            </w:r>
            <w:r>
              <w:rPr>
                <w:rFonts w:hint="eastAsia"/>
                <w:color w:val="0000FF"/>
                <w:sz w:val="22"/>
                <w:szCs w:val="22"/>
                <w:lang w:val="en-US" w:eastAsia="zh-CN"/>
              </w:rPr>
              <w:t>S</w:t>
            </w:r>
            <w:r>
              <w:rPr>
                <w:rFonts w:hint="eastAsia"/>
                <w:color w:val="0000FF"/>
                <w:sz w:val="22"/>
                <w:szCs w:val="22"/>
              </w:rPr>
              <w:t xml:space="preserve">ite of </w:t>
            </w:r>
            <w:r>
              <w:rPr>
                <w:rFonts w:hint="eastAsia"/>
                <w:color w:val="0000FF"/>
                <w:sz w:val="22"/>
                <w:szCs w:val="22"/>
                <w:lang w:val="en-US" w:eastAsia="zh-CN"/>
              </w:rPr>
              <w:t>O</w:t>
            </w:r>
            <w:r>
              <w:rPr>
                <w:rFonts w:hint="eastAsia"/>
                <w:color w:val="0000FF"/>
                <w:sz w:val="22"/>
                <w:szCs w:val="22"/>
              </w:rPr>
              <w:t xml:space="preserve">ccupational </w:t>
            </w:r>
            <w:r>
              <w:rPr>
                <w:rFonts w:hint="eastAsia"/>
                <w:color w:val="0000FF"/>
                <w:sz w:val="22"/>
                <w:szCs w:val="22"/>
                <w:lang w:val="en-US" w:eastAsia="zh-CN"/>
              </w:rPr>
              <w:t>H</w:t>
            </w:r>
            <w:r>
              <w:rPr>
                <w:rFonts w:hint="eastAsia"/>
                <w:color w:val="0000FF"/>
                <w:sz w:val="22"/>
                <w:szCs w:val="22"/>
              </w:rPr>
              <w:t xml:space="preserve">ealth and </w:t>
            </w:r>
            <w:r>
              <w:rPr>
                <w:rFonts w:hint="eastAsia"/>
                <w:color w:val="0000FF"/>
                <w:sz w:val="22"/>
                <w:szCs w:val="22"/>
                <w:lang w:val="en-US" w:eastAsia="zh-CN"/>
              </w:rPr>
              <w:t>S</w:t>
            </w:r>
            <w:r>
              <w:rPr>
                <w:rFonts w:hint="eastAsia"/>
                <w:color w:val="0000FF"/>
                <w:sz w:val="22"/>
                <w:szCs w:val="22"/>
              </w:rPr>
              <w:t xml:space="preserve">afety </w:t>
            </w:r>
            <w:r>
              <w:rPr>
                <w:rFonts w:hint="eastAsia"/>
                <w:color w:val="0000FF"/>
                <w:sz w:val="22"/>
                <w:szCs w:val="22"/>
                <w:lang w:val="en-US" w:eastAsia="zh-CN"/>
              </w:rPr>
              <w:t>M</w:t>
            </w:r>
            <w:r>
              <w:rPr>
                <w:rFonts w:hint="eastAsia"/>
                <w:color w:val="0000FF"/>
                <w:sz w:val="22"/>
                <w:szCs w:val="22"/>
              </w:rPr>
              <w:t xml:space="preserve">anagement </w:t>
            </w:r>
            <w:r>
              <w:rPr>
                <w:rFonts w:hint="eastAsia"/>
                <w:color w:val="0000FF"/>
                <w:sz w:val="22"/>
                <w:szCs w:val="22"/>
                <w:lang w:val="en-US" w:eastAsia="zh-CN"/>
              </w:rPr>
              <w:t>A</w:t>
            </w:r>
            <w:r>
              <w:rPr>
                <w:rFonts w:hint="eastAsia"/>
                <w:color w:val="0000FF"/>
                <w:sz w:val="22"/>
                <w:szCs w:val="22"/>
              </w:rPr>
              <w:t>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240" w:lineRule="auto"/>
              <w:jc w:val="left"/>
              <w:rPr>
                <w:sz w:val="22"/>
                <w:szCs w:val="16"/>
              </w:rPr>
            </w:pPr>
          </w:p>
        </w:tc>
        <w:tc>
          <w:tcPr>
            <w:tcW w:w="3373" w:type="dxa"/>
            <w:vMerge w:val="continue"/>
          </w:tcPr>
          <w:p>
            <w:pPr>
              <w:snapToGrid w:val="0"/>
              <w:spacing w:line="240" w:lineRule="auto"/>
              <w:jc w:val="left"/>
              <w:rPr>
                <w:rFonts w:cs="Arial"/>
                <w:b/>
                <w:bCs/>
                <w:color w:val="0000FF"/>
                <w:sz w:val="22"/>
                <w:szCs w:val="16"/>
              </w:rPr>
            </w:pPr>
          </w:p>
        </w:tc>
        <w:tc>
          <w:tcPr>
            <w:tcW w:w="1337" w:type="dxa"/>
          </w:tcPr>
          <w:p>
            <w:pPr>
              <w:snapToGrid w:val="0"/>
              <w:spacing w:line="240" w:lineRule="auto"/>
              <w:jc w:val="left"/>
              <w:rPr>
                <w:sz w:val="22"/>
                <w:szCs w:val="22"/>
              </w:rPr>
            </w:pPr>
            <w:r>
              <w:rPr>
                <w:rFonts w:hint="eastAsia"/>
                <w:sz w:val="22"/>
                <w:szCs w:val="22"/>
              </w:rPr>
              <w:t>EnMS</w:t>
            </w:r>
          </w:p>
        </w:tc>
        <w:tc>
          <w:tcPr>
            <w:tcW w:w="3676" w:type="dxa"/>
            <w:gridSpan w:val="3"/>
          </w:tcPr>
          <w:p>
            <w:pPr>
              <w:snapToGrid w:val="0"/>
              <w:spacing w:line="240" w:lineRule="auto"/>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240" w:lineRule="auto"/>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240" w:lineRule="auto"/>
              <w:jc w:val="left"/>
              <w:rPr>
                <w:color w:val="0000FF"/>
                <w:sz w:val="22"/>
                <w:szCs w:val="22"/>
              </w:rPr>
            </w:pPr>
            <w:r>
              <w:rPr>
                <w:rFonts w:hint="eastAsia" w:cs="Arial"/>
                <w:b/>
                <w:bCs/>
                <w:color w:val="0000FF"/>
                <w:sz w:val="22"/>
                <w:szCs w:val="16"/>
              </w:rPr>
              <w:t>Yishu Building, 3 Fusu Road, Fengdong New Town, Xixian New District, Shaanxi Province</w:t>
            </w:r>
          </w:p>
        </w:tc>
        <w:tc>
          <w:tcPr>
            <w:tcW w:w="1337" w:type="dxa"/>
          </w:tcPr>
          <w:p>
            <w:pPr>
              <w:snapToGrid w:val="0"/>
              <w:spacing w:line="240" w:lineRule="auto"/>
              <w:jc w:val="left"/>
              <w:rPr>
                <w:sz w:val="22"/>
                <w:szCs w:val="22"/>
              </w:rPr>
            </w:pPr>
            <w:r>
              <w:rPr>
                <w:rFonts w:hint="eastAsia"/>
                <w:sz w:val="22"/>
                <w:szCs w:val="22"/>
              </w:rPr>
              <w:t>FSMS</w:t>
            </w:r>
          </w:p>
        </w:tc>
        <w:tc>
          <w:tcPr>
            <w:tcW w:w="3676" w:type="dxa"/>
            <w:gridSpan w:val="3"/>
          </w:tcPr>
          <w:p>
            <w:pPr>
              <w:snapToGrid w:val="0"/>
              <w:spacing w:line="240" w:lineRule="auto"/>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rPr>
          <w:rFonts w:hint="eastAsia"/>
        </w:rPr>
      </w:pPr>
      <w:r>
        <w:rPr>
          <w:rFonts w:hint="eastAsia"/>
        </w:rPr>
        <w:br w:type="page"/>
      </w: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hint="eastAsia" w:cs="Arial"/>
                <w:b/>
                <w:bCs/>
                <w:sz w:val="22"/>
                <w:szCs w:val="22"/>
              </w:rPr>
            </w:pPr>
            <w:r>
              <w:rPr>
                <w:rFonts w:hint="eastAsia" w:cs="Arial"/>
                <w:b/>
                <w:bCs/>
                <w:sz w:val="22"/>
                <w:szCs w:val="22"/>
              </w:rPr>
              <w:t>公司名称</w:t>
            </w:r>
            <w:r>
              <w:rPr>
                <w:rFonts w:hint="eastAsia" w:cs="Arial"/>
                <w:b/>
                <w:bCs/>
                <w:sz w:val="22"/>
                <w:szCs w:val="22"/>
                <w:lang w:val="en-US" w:eastAsia="zh-CN"/>
              </w:rPr>
              <w:t>:</w:t>
            </w:r>
            <w:r>
              <w:rPr>
                <w:rFonts w:hint="eastAsia" w:cs="Arial"/>
                <w:b/>
                <w:bCs/>
                <w:sz w:val="22"/>
                <w:szCs w:val="22"/>
              </w:rPr>
              <w:t>沣水云岭营销中心</w:t>
            </w:r>
          </w:p>
          <w:p>
            <w:pPr>
              <w:pStyle w:val="16"/>
              <w:spacing w:before="0" w:after="0"/>
              <w:jc w:val="left"/>
              <w:rPr>
                <w:rFonts w:hint="eastAsia" w:cs="Arial"/>
                <w:b/>
                <w:bCs/>
                <w:sz w:val="22"/>
                <w:szCs w:val="22"/>
              </w:rPr>
            </w:pPr>
          </w:p>
          <w:p>
            <w:pPr>
              <w:pStyle w:val="16"/>
              <w:spacing w:before="0" w:after="0"/>
              <w:jc w:val="left"/>
              <w:rPr>
                <w:rFonts w:hint="eastAsia" w:cs="Arial"/>
                <w:b/>
                <w:bCs/>
                <w:sz w:val="22"/>
                <w:szCs w:val="22"/>
              </w:rPr>
            </w:pPr>
            <w:r>
              <w:rPr>
                <w:rFonts w:hint="eastAsia" w:cs="Arial"/>
                <w:b/>
                <w:bCs/>
                <w:sz w:val="22"/>
                <w:szCs w:val="22"/>
              </w:rPr>
              <w:t>注册地址：</w:t>
            </w:r>
          </w:p>
          <w:p>
            <w:pPr>
              <w:pStyle w:val="16"/>
              <w:spacing w:before="0" w:after="0"/>
              <w:jc w:val="left"/>
              <w:rPr>
                <w:rFonts w:hint="eastAsia" w:cs="Arial"/>
                <w:b/>
                <w:bCs/>
                <w:sz w:val="22"/>
                <w:szCs w:val="22"/>
              </w:rPr>
            </w:pPr>
          </w:p>
          <w:p>
            <w:pPr>
              <w:snapToGrid w:val="0"/>
              <w:spacing w:line="0" w:lineRule="atLeast"/>
              <w:rPr>
                <w:sz w:val="22"/>
                <w:szCs w:val="22"/>
              </w:rPr>
            </w:pPr>
            <w:r>
              <w:rPr>
                <w:rFonts w:hint="eastAsia" w:cs="Arial"/>
                <w:b/>
                <w:bCs/>
                <w:sz w:val="22"/>
                <w:szCs w:val="22"/>
              </w:rPr>
              <w:t>经营地址：陕西省西安市长安区英华四路与文瀚路交汇处南180米</w:t>
            </w:r>
          </w:p>
        </w:tc>
        <w:tc>
          <w:tcPr>
            <w:tcW w:w="1512" w:type="dxa"/>
            <w:vMerge w:val="restart"/>
          </w:tcPr>
          <w:p>
            <w:pPr>
              <w:snapToGrid w:val="0"/>
              <w:spacing w:line="0" w:lineRule="atLeast"/>
              <w:rPr>
                <w:sz w:val="22"/>
                <w:szCs w:val="22"/>
              </w:rPr>
            </w:pPr>
            <w:r>
              <w:rPr>
                <w:rFonts w:hint="eastAsia"/>
                <w:sz w:val="22"/>
                <w:szCs w:val="22"/>
              </w:rPr>
              <w:t>9161110009402116X9</w:t>
            </w: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r>
              <w:rPr>
                <w:rFonts w:hint="eastAsia"/>
                <w:sz w:val="22"/>
                <w:szCs w:val="22"/>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w:t>
            </w:r>
            <w:r>
              <w:rPr>
                <w:rFonts w:hint="eastAsia" w:cs="Arial"/>
                <w:b/>
                <w:bCs/>
                <w:sz w:val="22"/>
                <w:szCs w:val="22"/>
                <w:lang w:val="en-US" w:eastAsia="zh-CN"/>
              </w:rPr>
              <w:t>:</w:t>
            </w:r>
            <w:r>
              <w:rPr>
                <w:rFonts w:cs="Arial"/>
                <w:b/>
                <w:bCs/>
                <w:sz w:val="22"/>
                <w:szCs w:val="22"/>
              </w:rPr>
              <w:t>Fengshui</w:t>
            </w:r>
            <w:r>
              <w:rPr>
                <w:rFonts w:hint="eastAsia" w:cs="Arial"/>
                <w:b/>
                <w:bCs/>
                <w:sz w:val="22"/>
                <w:szCs w:val="22"/>
                <w:lang w:val="en-US" w:eastAsia="zh-CN"/>
              </w:rPr>
              <w:t>y</w:t>
            </w:r>
            <w:r>
              <w:rPr>
                <w:rFonts w:cs="Arial"/>
                <w:b/>
                <w:bCs/>
                <w:sz w:val="22"/>
                <w:szCs w:val="22"/>
              </w:rPr>
              <w:t>unling Marketing Center</w:t>
            </w:r>
          </w:p>
          <w:p>
            <w:pPr>
              <w:pStyle w:val="16"/>
              <w:spacing w:before="0" w:after="0"/>
              <w:jc w:val="left"/>
              <w:rPr>
                <w:rFonts w:cs="Arial"/>
                <w:b/>
                <w:bCs/>
                <w:sz w:val="22"/>
                <w:szCs w:val="22"/>
              </w:rPr>
            </w:pPr>
          </w:p>
          <w:p>
            <w:pPr>
              <w:pStyle w:val="16"/>
              <w:spacing w:before="0" w:after="0"/>
              <w:jc w:val="left"/>
              <w:rPr>
                <w:rFonts w:cs="Arial"/>
                <w:b/>
                <w:bCs/>
                <w:sz w:val="22"/>
                <w:szCs w:val="22"/>
              </w:rPr>
            </w:pPr>
            <w:r>
              <w:rPr>
                <w:rFonts w:cs="Arial"/>
                <w:b/>
                <w:bCs/>
                <w:sz w:val="22"/>
                <w:szCs w:val="22"/>
              </w:rPr>
              <w:t>Registration Address:</w:t>
            </w:r>
            <w:bookmarkStart w:id="22" w:name="_GoBack"/>
            <w:bookmarkEnd w:id="22"/>
          </w:p>
          <w:p>
            <w:pPr>
              <w:pStyle w:val="16"/>
              <w:spacing w:before="0" w:after="0"/>
              <w:jc w:val="left"/>
              <w:rPr>
                <w:rFonts w:cs="Arial"/>
                <w:b/>
                <w:bCs/>
                <w:sz w:val="22"/>
                <w:szCs w:val="22"/>
              </w:rPr>
            </w:pPr>
          </w:p>
          <w:p>
            <w:pPr>
              <w:pStyle w:val="16"/>
              <w:spacing w:before="0" w:after="0"/>
              <w:jc w:val="left"/>
              <w:rPr>
                <w:rFonts w:cs="Arial"/>
                <w:b/>
                <w:bCs/>
                <w:sz w:val="22"/>
                <w:szCs w:val="22"/>
              </w:rPr>
            </w:pPr>
            <w:r>
              <w:rPr>
                <w:rFonts w:cs="Arial"/>
                <w:b/>
                <w:bCs/>
                <w:sz w:val="22"/>
                <w:szCs w:val="22"/>
              </w:rPr>
              <w:t>Operation Address:</w:t>
            </w:r>
            <w:r>
              <w:rPr>
                <w:rFonts w:hint="eastAsia" w:cs="Arial"/>
                <w:b/>
                <w:bCs/>
                <w:sz w:val="22"/>
                <w:szCs w:val="22"/>
              </w:rPr>
              <w:t>180 meters south of the intersection of Yinghua 4th Road and Wenhan Road, Chang 'an District, Xi 'an, Shaanxi</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r>
              <w:rPr>
                <w:rFonts w:hint="eastAsia"/>
                <w:color w:val="auto"/>
                <w:sz w:val="22"/>
                <w:szCs w:val="22"/>
                <w:lang w:val="en-US" w:eastAsia="zh-CN"/>
              </w:rPr>
              <w:t>P</w:t>
            </w:r>
            <w:r>
              <w:rPr>
                <w:rFonts w:hint="eastAsia"/>
                <w:color w:val="auto"/>
                <w:sz w:val="22"/>
                <w:szCs w:val="22"/>
              </w:rPr>
              <w:t xml:space="preserve">roperty </w:t>
            </w:r>
            <w:r>
              <w:rPr>
                <w:rFonts w:hint="eastAsia"/>
                <w:color w:val="auto"/>
                <w:sz w:val="22"/>
                <w:szCs w:val="22"/>
                <w:lang w:val="en-US" w:eastAsia="zh-CN"/>
              </w:rPr>
              <w:t>M</w:t>
            </w:r>
            <w:r>
              <w:rPr>
                <w:rFonts w:hint="eastAsia"/>
                <w:color w:val="auto"/>
                <w:sz w:val="22"/>
                <w:szCs w:val="22"/>
              </w:rPr>
              <w:t xml:space="preserve">anagement </w:t>
            </w:r>
            <w:r>
              <w:rPr>
                <w:rFonts w:hint="eastAsia"/>
                <w:color w:val="auto"/>
                <w:sz w:val="22"/>
                <w:szCs w:val="22"/>
                <w:lang w:val="en-US" w:eastAsia="zh-CN"/>
              </w:rPr>
              <w:t>S</w:t>
            </w:r>
            <w:r>
              <w:rPr>
                <w:rFonts w:hint="eastAsia"/>
                <w:color w:val="auto"/>
                <w:sz w:val="22"/>
                <w:szCs w:val="22"/>
              </w:rPr>
              <w:t>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p>
        </w:tc>
        <w:tc>
          <w:tcPr>
            <w:tcW w:w="3088" w:type="dxa"/>
          </w:tcPr>
          <w:p>
            <w:pPr>
              <w:pStyle w:val="16"/>
              <w:spacing w:before="0" w:after="0"/>
              <w:jc w:val="left"/>
              <w:rPr>
                <w:sz w:val="22"/>
                <w:szCs w:val="22"/>
              </w:rPr>
            </w:pP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sz w:val="22"/>
                <w:szCs w:val="22"/>
              </w:rPr>
            </w:pP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p>
        </w:tc>
        <w:tc>
          <w:tcPr>
            <w:tcW w:w="3088" w:type="dxa"/>
          </w:tcPr>
          <w:p>
            <w:pPr>
              <w:rPr>
                <w:sz w:val="22"/>
                <w:szCs w:val="22"/>
              </w:rPr>
            </w:pP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rPr>
                <w:sz w:val="22"/>
                <w:szCs w:val="22"/>
              </w:rPr>
            </w:pP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MzVmMjRhOTI3NTFjNmRlYmM5YzA2NWZhNjBiZTEifQ=="/>
  </w:docVars>
  <w:rsids>
    <w:rsidRoot w:val="00000000"/>
    <w:rsid w:val="10A735CE"/>
    <w:rsid w:val="133E6103"/>
    <w:rsid w:val="176830F2"/>
    <w:rsid w:val="228C2550"/>
    <w:rsid w:val="5BA81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4</TotalTime>
  <ScaleCrop>false</ScaleCrop>
  <LinksUpToDate>false</LinksUpToDate>
  <CharactersWithSpaces>2193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2022-10-11T11:17:52Z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