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0"/>
        <w:gridCol w:w="93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负责人：兰为平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张利虎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肖新龙O，任泽华实习O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2022-10-13下午至2022-10-14上午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restart"/>
            <w:vAlign w:val="center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960" w:type="dxa"/>
            <w:vMerge w:val="restart"/>
            <w:vAlign w:val="center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5.3</w:t>
            </w:r>
          </w:p>
          <w:p/>
        </w:tc>
        <w:tc>
          <w:tcPr>
            <w:tcW w:w="70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304" w:type="dxa"/>
            <w:vAlign w:val="top"/>
          </w:tcPr>
          <w:p>
            <w:pPr>
              <w:tabs>
                <w:tab w:val="left" w:pos="3108"/>
              </w:tabs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QEO</w:t>
            </w:r>
            <w:r>
              <w:rPr>
                <w:rFonts w:hint="eastAsia"/>
              </w:rPr>
              <w:t>管理手册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第5.3章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70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30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主要负责顾客食品生产、配送过程的服务提供，基础设施、工作环境；标识和可追溯性管理；产品和服务的设计和开发；应急准备和响应/产品撤回召回；顾客或外部供方的财产；产品放行；监视测量资源的管理、不合格品管理</w:t>
            </w:r>
            <w:r>
              <w:rPr>
                <w:rFonts w:hint="eastAsia" w:ascii="宋体" w:hAnsi="宋体"/>
                <w:szCs w:val="21"/>
              </w:rPr>
              <w:t>等过程涉及的质量、职业健康安全和食品安全的管理。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O6.1.2.1 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304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QEO管理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危险源辨识、风险评价和控制措施的控制程序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304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组织在</w:t>
            </w:r>
            <w:r>
              <w:rPr>
                <w:rFonts w:hint="eastAsia"/>
                <w:vertAlign w:val="baseline"/>
                <w:lang w:val="en-US" w:eastAsia="zh-CN"/>
              </w:rPr>
              <w:t>辨识危险源</w:t>
            </w:r>
            <w:r>
              <w:rPr>
                <w:rFonts w:hint="eastAsia"/>
                <w:vertAlign w:val="baseline"/>
              </w:rPr>
              <w:t>和相关的</w:t>
            </w:r>
            <w:r>
              <w:rPr>
                <w:rFonts w:hint="eastAsia"/>
                <w:vertAlign w:val="baseline"/>
                <w:lang w:val="en-US" w:eastAsia="zh-CN"/>
              </w:rPr>
              <w:t>职业健康安全风险</w:t>
            </w:r>
            <w:r>
              <w:rPr>
                <w:rFonts w:hint="eastAsia"/>
                <w:vertAlign w:val="baseline"/>
              </w:rPr>
              <w:t>时，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</w:rPr>
              <w:t>考虑</w:t>
            </w:r>
            <w:r>
              <w:rPr>
                <w:rFonts w:hint="eastAsia"/>
                <w:vertAlign w:val="baseline"/>
                <w:lang w:val="en-US" w:eastAsia="zh-CN"/>
              </w:rPr>
              <w:t>下列因素：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社会因素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领导作用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组织的文化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常规活动和状况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非常规活动和状况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内部</w:t>
            </w:r>
            <w:r>
              <w:rPr>
                <w:highlight w:val="none"/>
              </w:rPr>
              <w:t>或</w:t>
            </w:r>
            <w:r>
              <w:rPr>
                <w:rFonts w:hint="eastAsia"/>
                <w:highlight w:val="none"/>
              </w:rPr>
              <w:t>外部以往发生的相关事件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</w:rPr>
              <w:t>潜在的紧急情况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内部员工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相关方人员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工作场所附近</w:t>
            </w:r>
            <w:r>
              <w:rPr>
                <w:highlight w:val="none"/>
              </w:rPr>
              <w:t>的状况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实际或拟定的变更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危险源的知识和相关信息的变更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危险源辨识考虑了下列过程：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设计开发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原材料采购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生产/服务提供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产品检测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产品储存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产品交付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辅助活动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公用工程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组织的重大危险源包括：    </w:t>
            </w:r>
          </w:p>
          <w:tbl>
            <w:tblPr>
              <w:tblStyle w:val="9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563"/>
              <w:gridCol w:w="3317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重大危险源</w:t>
                  </w:r>
                </w:p>
              </w:tc>
              <w:tc>
                <w:tcPr>
                  <w:tcW w:w="256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331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Times New Roman"/>
                      <w:lang w:val="en-GB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组织的不可接受危险源包括：</w:t>
            </w: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机械伤害：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物体打击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高空落物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高空坠落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车辆撞人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化学伤害：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中毒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灼烧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冷热伤害：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烫伤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中暑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冻伤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电的伤害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触电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雷击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火灾伤害：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爆炸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灼烧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声音伤害：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噪声（很小）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评价不可接受风险的准则：</w:t>
            </w:r>
            <w:r>
              <w:rPr>
                <w:rFonts w:hint="eastAsia"/>
                <w:lang w:val="en-US" w:eastAsia="zh-CN"/>
              </w:rPr>
              <w:t>《危险源辨识、风险评价和控制措施的控制程序》</w:t>
            </w:r>
            <w:r>
              <w:rPr>
                <w:rFonts w:hint="eastAsia"/>
                <w:highlight w:val="none"/>
                <w:u w:val="single"/>
                <w:vertAlign w:val="baseline"/>
                <w:lang w:val="en-US" w:eastAsia="zh-CN"/>
              </w:rPr>
              <w:t xml:space="preserve">LEC法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涉及本部门的不可接受危险源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9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4"/>
              <w:gridCol w:w="1901"/>
              <w:gridCol w:w="3327"/>
              <w:gridCol w:w="1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不可接受危险源</w:t>
                  </w:r>
                </w:p>
              </w:tc>
              <w:tc>
                <w:tcPr>
                  <w:tcW w:w="190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77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14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</w:rPr>
                    <w:t>不安全食品</w:t>
                  </w:r>
                </w:p>
              </w:tc>
              <w:tc>
                <w:tcPr>
                  <w:tcW w:w="190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0000FF"/>
                    </w:rPr>
                    <w:t>食物中毒</w:t>
                  </w:r>
                </w:p>
              </w:tc>
              <w:tc>
                <w:tcPr>
                  <w:tcW w:w="332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4"/>
                      <w:lang w:val="en-US" w:eastAsia="zh-CN"/>
                    </w:rPr>
                    <w:t>编制管理方案或管理制度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4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FF"/>
                      <w:szCs w:val="21"/>
                      <w:lang w:val="en-US" w:eastAsia="zh-CN"/>
                    </w:rPr>
                    <w:t>煤气爆炸</w:t>
                  </w:r>
                </w:p>
              </w:tc>
              <w:tc>
                <w:tcPr>
                  <w:tcW w:w="190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FF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</w:rPr>
                    <w:t>烧伤</w:t>
                  </w:r>
                  <w:r>
                    <w:rPr>
                      <w:rFonts w:hint="eastAsia"/>
                      <w:color w:val="0000FF"/>
                      <w:lang w:eastAsia="zh-CN"/>
                    </w:rPr>
                    <w:t>、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财产损失</w:t>
                  </w:r>
                </w:p>
              </w:tc>
              <w:tc>
                <w:tcPr>
                  <w:tcW w:w="332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color w:val="0000FF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4"/>
                      <w:lang w:val="en-US" w:eastAsia="zh-CN"/>
                    </w:rPr>
                    <w:t>编制管理方案或管理制度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FF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4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1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切伤手、烫伤</w:t>
                  </w:r>
                </w:p>
              </w:tc>
              <w:tc>
                <w:tcPr>
                  <w:tcW w:w="190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FF"/>
                      <w:szCs w:val="21"/>
                      <w:lang w:val="en-US" w:eastAsia="zh-CN"/>
                    </w:rPr>
                    <w:t>人身伤害、财产损失</w:t>
                  </w:r>
                </w:p>
              </w:tc>
              <w:tc>
                <w:tcPr>
                  <w:tcW w:w="332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编制管理方案或管理制度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1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190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FF"/>
                      <w:szCs w:val="21"/>
                    </w:rPr>
                    <w:t>电击伤害</w:t>
                  </w:r>
                  <w:r>
                    <w:rPr>
                      <w:rFonts w:hint="eastAsia" w:ascii="宋体" w:hAnsi="宋体"/>
                      <w:color w:val="0000FF"/>
                      <w:szCs w:val="21"/>
                      <w:lang w:val="en-US" w:eastAsia="zh-CN"/>
                    </w:rPr>
                    <w:t>等人身伤害</w:t>
                  </w:r>
                </w:p>
              </w:tc>
              <w:tc>
                <w:tcPr>
                  <w:tcW w:w="332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4"/>
                      <w:lang w:val="en-US" w:eastAsia="zh-CN"/>
                    </w:rPr>
                    <w:t>编制管理方案或管理制度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1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火灾事故</w:t>
                  </w:r>
                </w:p>
              </w:tc>
              <w:tc>
                <w:tcPr>
                  <w:tcW w:w="190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FF"/>
                      <w:szCs w:val="21"/>
                      <w:lang w:val="en-US" w:eastAsia="zh-CN"/>
                    </w:rPr>
                    <w:t>人身伤害</w:t>
                  </w:r>
                </w:p>
              </w:tc>
              <w:tc>
                <w:tcPr>
                  <w:tcW w:w="332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4"/>
                      <w:lang w:val="en-US" w:eastAsia="zh-CN"/>
                    </w:rPr>
                    <w:t>编制管理方案或管理制度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1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交通事故</w:t>
                  </w:r>
                </w:p>
              </w:tc>
              <w:tc>
                <w:tcPr>
                  <w:tcW w:w="190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FF"/>
                      <w:szCs w:val="21"/>
                      <w:lang w:val="en-US" w:eastAsia="zh-CN"/>
                    </w:rPr>
                    <w:t>人身伤亡、财产损失</w:t>
                  </w:r>
                </w:p>
              </w:tc>
              <w:tc>
                <w:tcPr>
                  <w:tcW w:w="332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编制管理方案或管理制度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1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9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332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Times New Roman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职业健康安全风险和职业健康安全管理体系的其他风险的评价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E6.1.2.2 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304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QEO管理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危险源辨识、风险评价和控制措施的控制程序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304" w:type="dxa"/>
          </w:tcPr>
          <w:tbl>
            <w:tblPr>
              <w:tblStyle w:val="9"/>
              <w:tblW w:w="86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7"/>
              <w:gridCol w:w="4177"/>
              <w:gridCol w:w="19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职业健康安全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风险</w:t>
                  </w:r>
                </w:p>
              </w:tc>
              <w:tc>
                <w:tcPr>
                  <w:tcW w:w="417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评价已辨识的危险源职业健康安全风险</w:t>
                  </w:r>
                </w:p>
              </w:tc>
              <w:tc>
                <w:tcPr>
                  <w:tcW w:w="41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《职业健康安全目标方案》</w:t>
                  </w:r>
                </w:p>
              </w:tc>
              <w:tc>
                <w:tcPr>
                  <w:tcW w:w="1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评价</w:t>
                  </w:r>
                  <w:r>
                    <w:rPr>
                      <w:rFonts w:hint="eastAsia"/>
                      <w:highlight w:val="none"/>
                    </w:rPr>
                    <w:t>现有控制的有效性</w:t>
                  </w:r>
                </w:p>
              </w:tc>
              <w:tc>
                <w:tcPr>
                  <w:tcW w:w="41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通过目标进行管控，目前在实施中</w:t>
                  </w:r>
                </w:p>
              </w:tc>
              <w:tc>
                <w:tcPr>
                  <w:tcW w:w="1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风险</w:t>
                  </w:r>
                </w:p>
              </w:tc>
              <w:tc>
                <w:tcPr>
                  <w:tcW w:w="41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各部门制订和实施的控制程序</w:t>
                  </w:r>
                </w:p>
              </w:tc>
              <w:tc>
                <w:tcPr>
                  <w:tcW w:w="1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41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pStyle w:val="18"/>
              <w:numPr>
                <w:ilvl w:val="4"/>
                <w:numId w:val="0"/>
              </w:num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职业健康安全机遇和职业健康安全管理体系的其他机遇的评价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E6.1.2.3 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304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QEO管理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危险源辨识、风险评价和控制措施的控制程序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304" w:type="dxa"/>
          </w:tcPr>
          <w:tbl>
            <w:tblPr>
              <w:tblStyle w:val="9"/>
              <w:tblW w:w="863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7"/>
              <w:gridCol w:w="4447"/>
              <w:gridCol w:w="16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职业健康安全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绩效</w:t>
                  </w:r>
                </w:p>
              </w:tc>
              <w:tc>
                <w:tcPr>
                  <w:tcW w:w="44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工作、工作组织和工作环境适合</w:t>
                  </w:r>
                  <w:r>
                    <w:rPr>
                      <w:highlight w:val="none"/>
                    </w:rPr>
                    <w:t>于</w:t>
                  </w:r>
                  <w:r>
                    <w:rPr>
                      <w:rFonts w:hint="eastAsia"/>
                      <w:highlight w:val="none"/>
                    </w:rPr>
                    <w:t>工作人员</w:t>
                  </w:r>
                </w:p>
              </w:tc>
              <w:tc>
                <w:tcPr>
                  <w:tcW w:w="44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目前公司实施的各项控制措施有效且被员工接受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44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定期收集和评价法律法规和其他要求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消除危险源</w:t>
                  </w:r>
                </w:p>
              </w:tc>
              <w:tc>
                <w:tcPr>
                  <w:tcW w:w="44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通过职业健康安全方案进行控制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降低职业健康安全风险</w:t>
                  </w:r>
                </w:p>
              </w:tc>
              <w:tc>
                <w:tcPr>
                  <w:tcW w:w="44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通过职业健康安全方案、各部门运行进行控制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生产部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其他机遇</w:t>
                  </w:r>
                </w:p>
              </w:tc>
              <w:tc>
                <w:tcPr>
                  <w:tcW w:w="44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19"/>
              <w:numPr>
                <w:ilvl w:val="3"/>
                <w:numId w:val="0"/>
              </w:numPr>
              <w:rPr>
                <w:rFonts w:hint="eastAsia"/>
                <w:highlight w:val="cya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措施的策划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O6.1.4 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304" w:type="dxa"/>
          </w:tcPr>
          <w:p>
            <w:r>
              <w:rPr>
                <w:rFonts w:hint="eastAsia"/>
                <w:highlight w:val="none"/>
              </w:rPr>
              <w:t>如：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QEO管理</w:t>
            </w:r>
            <w:r>
              <w:rPr>
                <w:rFonts w:hint="eastAsia"/>
                <w:highlight w:val="none"/>
              </w:rPr>
              <w:t>手册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</w:rPr>
              <w:t>第6.1条款、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职业健康安全管理方案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304" w:type="dxa"/>
          </w:tcPr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在策划措施时，组织还应考虑最佳实践、可选技术方案以及财务、运行和经营等要求。</w:t>
            </w:r>
          </w:p>
          <w:tbl>
            <w:tblPr>
              <w:tblStyle w:val="9"/>
              <w:tblW w:w="85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6"/>
              <w:gridCol w:w="998"/>
              <w:gridCol w:w="5507"/>
              <w:gridCol w:w="9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9" w:hRule="atLeast"/>
              </w:trPr>
              <w:tc>
                <w:tcPr>
                  <w:tcW w:w="101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控制内容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类别</w:t>
                  </w:r>
                </w:p>
              </w:tc>
              <w:tc>
                <w:tcPr>
                  <w:tcW w:w="550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控制措施</w:t>
                  </w:r>
                </w:p>
              </w:tc>
              <w:tc>
                <w:tcPr>
                  <w:tcW w:w="99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253" w:hRule="atLeast"/>
              </w:trPr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火灾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不可接受危险源</w:t>
                  </w:r>
                </w:p>
              </w:tc>
              <w:tc>
                <w:tcPr>
                  <w:tcW w:w="550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易燃易爆物品必须有严格的防火措施，确定防火负责人，配备灭火器材，加强巡查。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文件材料的存放、使用必须符合防火要求。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办公区域/食堂的用电要符合防火规定。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制定消防预案，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成立应急小组处理突发事件。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定期对电线、电缆电气设施进行检修。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综合部</w:t>
                  </w:r>
                </w:p>
                <w:p>
                  <w:pPr>
                    <w:pStyle w:val="7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ind w:left="0" w:leftChars="0" w:firstLine="0" w:firstLineChars="0"/>
                    <w:textAlignment w:val="auto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3" w:hRule="atLeast"/>
              </w:trPr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触电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不可接受危险源</w:t>
                  </w:r>
                </w:p>
              </w:tc>
              <w:tc>
                <w:tcPr>
                  <w:tcW w:w="550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识别用电安全方面的危险源，列出用电安全应整改问题清单；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就增添漏电保护器、保护接地和更换部分开关、线路措施的安全技术方案；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3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实施上述已评审、批准的方案；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4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对员工进行安全用电的培训教育；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5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纳入日常安全管理制度，进行检查。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综合部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0" w:hRule="atLeast"/>
              </w:trPr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切伤手、中毒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不可接受危险源</w:t>
                  </w:r>
                </w:p>
              </w:tc>
              <w:tc>
                <w:tcPr>
                  <w:tcW w:w="550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健全制订《食堂卫生管理制度》，落实责任制，杜绝采购变质，有毒的蔬菜； 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保证蔬菜的新鲜，禁止供应变质的食物给职工，按卫生要求保存食物（多余物品存放冰柜，生、熟食分开）； 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炊事人员必须持健康证上岗作业； </w:t>
                  </w: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定时对食堂搞好卫生，保持清洁； </w:t>
                  </w: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定时对食堂周围内外消毒；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方案偏中毒方面，对切伤手等不够明确，已与企业沟通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3" w:hRule="atLeast"/>
              </w:trPr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烫伤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不可接受危险源</w:t>
                  </w:r>
                </w:p>
              </w:tc>
              <w:tc>
                <w:tcPr>
                  <w:tcW w:w="550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ind w:leftChars="0"/>
                    <w:textAlignment w:val="auto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工作人员应穿工作服，衣服和袖口应扣好，工作中应戴手套及其他劳保用品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ind w:leftChars="0"/>
                    <w:textAlignment w:val="auto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使用工具前应进行检查，不完整的不准使用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危险区域应设立警告标志并采取现场安全措施。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现场机械设备必须设有防护装置。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机器设备和工具必须定期进行检修，定期进行安全操作教育。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0" w:hRule="atLeast"/>
              </w:trPr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煤气爆炸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不可接受危险源</w:t>
                  </w:r>
                </w:p>
              </w:tc>
              <w:tc>
                <w:tcPr>
                  <w:tcW w:w="550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加强食堂燃气管理的领导，成立燃气安全检查小组，随时不定期检查，并作登记。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食堂工作人员要高度重视安全使用燃气的重要性，强化责任意识。   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非食堂人员不得开关燃气阀门。   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食堂燃气由专人负责开关阀门，开燃气前必须检查燃气管道再开燃气阀门，不用时、下班前必须关闭燃气阀门 ，做到责任到人。         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负责开关燃气责任人一定要严格把关并做好登记记录工作。 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严格按照要求，做到通风良好，并有灭火设备装置。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101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交通事故</w:t>
                  </w:r>
                </w:p>
              </w:tc>
              <w:tc>
                <w:tcPr>
                  <w:tcW w:w="99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不可接受危险源</w:t>
                  </w:r>
                </w:p>
              </w:tc>
              <w:tc>
                <w:tcPr>
                  <w:tcW w:w="550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ind w:leftChars="0"/>
                    <w:textAlignment w:val="auto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加强人员安全教育培训；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ind w:leftChars="0"/>
                    <w:textAlignment w:val="auto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定期对车辆进行日常维护保养，加大维护力度；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ind w:leftChars="0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3)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加强检查及监督力度。</w:t>
                  </w:r>
                </w:p>
              </w:tc>
              <w:tc>
                <w:tcPr>
                  <w:tcW w:w="99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</w:trPr>
              <w:tc>
                <w:tcPr>
                  <w:tcW w:w="101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??" w:hAnsi="??" w:eastAsia="宋体" w:cs="??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5507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tabs>
                      <w:tab w:val="left" w:pos="1005"/>
                    </w:tabs>
                    <w:spacing w:line="400" w:lineRule="exact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7" w:type="dxa"/>
                </w:tcPr>
                <w:p>
                  <w:pPr>
                    <w:jc w:val="left"/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职业健康安全目标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O6.2 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30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QEO管理</w:t>
            </w:r>
            <w:r>
              <w:rPr>
                <w:rFonts w:hint="eastAsia"/>
                <w:highlight w:val="none"/>
              </w:rPr>
              <w:t>手册</w:t>
            </w:r>
            <w:r>
              <w:rPr>
                <w:rFonts w:hint="eastAsia" w:ascii="宋体" w:hAnsi="宋体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</w:rPr>
              <w:t>第6.2条款 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《目标考核记录》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30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</w:rPr>
              <w:t>组织建立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highlight w:val="none"/>
                <w:vertAlign w:val="baseline"/>
              </w:rPr>
              <w:t>目标。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职业健康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目标而建立的各层级目标具体、有针对性、可测量并且可实现。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分解到本部门的职业健康安全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2491"/>
              <w:gridCol w:w="1520"/>
              <w:gridCol w:w="25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eastAsia="zh-CN"/>
                    </w:rPr>
                    <w:t>目标</w:t>
                  </w:r>
                </w:p>
              </w:tc>
              <w:tc>
                <w:tcPr>
                  <w:tcW w:w="24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目标实际完成（2022年04月至2022年09月）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21"/>
                    <w:jc w:val="left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灭火器配置率100％；</w:t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>
                  <w:pPr>
                    <w:pStyle w:val="21"/>
                    <w:jc w:val="left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灭火器配置数/灭火器总数*100%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2570" w:type="dxa"/>
                  <w:shd w:val="clear" w:color="auto" w:fill="auto"/>
                  <w:vAlign w:val="center"/>
                </w:tcPr>
                <w:p>
                  <w:pPr>
                    <w:pStyle w:val="21"/>
                    <w:jc w:val="center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100%</w:t>
                  </w:r>
                </w:p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GB" w:eastAsia="zh-CN" w:bidi="ar-SA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21"/>
                    <w:jc w:val="left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安全</w:t>
                  </w:r>
                  <w:r>
                    <w:rPr>
                      <w:sz w:val="18"/>
                      <w:szCs w:val="18"/>
                      <w:highlight w:val="none"/>
                    </w:rPr>
                    <w:t>事故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为零</w:t>
                  </w:r>
                  <w:r>
                    <w:rPr>
                      <w:sz w:val="18"/>
                      <w:szCs w:val="18"/>
                      <w:highlight w:val="none"/>
                    </w:rPr>
                    <w:t>；</w:t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>
                  <w:pPr>
                    <w:pStyle w:val="21"/>
                    <w:jc w:val="left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安全事故为0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2570" w:type="dxa"/>
                  <w:shd w:val="clear" w:color="auto" w:fill="auto"/>
                  <w:vAlign w:val="center"/>
                </w:tcPr>
                <w:p>
                  <w:pPr>
                    <w:pStyle w:val="21"/>
                    <w:jc w:val="center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0</w:t>
                  </w:r>
                </w:p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>杜绝火灾事故</w:t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>
                  <w:pPr>
                    <w:pStyle w:val="21"/>
                    <w:jc w:val="left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火灾事故为0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>
                  <w:pPr>
                    <w:pStyle w:val="21"/>
                    <w:jc w:val="cente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2570" w:type="dxa"/>
                  <w:shd w:val="clear" w:color="auto" w:fill="auto"/>
                  <w:vAlign w:val="center"/>
                </w:tcPr>
                <w:p>
                  <w:pPr>
                    <w:pStyle w:val="21"/>
                    <w:jc w:val="cente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合格供应商按时评定率100%</w:t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合格供应商按时评定数÷供应商总数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2570" w:type="dxa"/>
                  <w:shd w:val="clear" w:color="auto" w:fill="auto"/>
                  <w:vAlign w:val="center"/>
                </w:tcPr>
                <w:p>
                  <w:pPr>
                    <w:pStyle w:val="21"/>
                    <w:jc w:val="center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100%</w:t>
                  </w:r>
                </w:p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5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highlight w:val="none"/>
                <w:vertAlign w:val="baseline"/>
                <w:lang w:val="en-US"/>
              </w:rPr>
            </w:pPr>
            <w:r>
              <w:rPr>
                <w:rFonts w:hint="eastAsia"/>
                <w:highlight w:val="none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/>
              </w:rPr>
              <w:t>目标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highlight w:val="none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highlight w:val="none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highlight w:val="none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。</w:t>
            </w:r>
          </w:p>
          <w:p>
            <w:pPr>
              <w:rPr>
                <w:rFonts w:hint="eastAsia"/>
                <w:highlight w:val="none"/>
                <w:vertAlign w:val="baseline"/>
                <w:lang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O8</w:t>
            </w:r>
            <w:r>
              <w:rPr>
                <w:rFonts w:hint="eastAsia"/>
                <w:highlight w:val="none"/>
              </w:rPr>
              <w:t xml:space="preserve">.1 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30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QEO管理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第7.1条款、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《设备设施管理程序》、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highlight w:val="cya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304" w:type="dxa"/>
            <w:vAlign w:val="top"/>
          </w:tcPr>
          <w:p>
            <w:r>
              <w:rPr>
                <w:rFonts w:hint="eastAsia"/>
                <w:color w:val="000000"/>
                <w:szCs w:val="21"/>
              </w:rPr>
              <w:t xml:space="preserve">基础设施包括：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动力设施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——简单压力容器</w:t>
            </w:r>
          </w:p>
          <w:p>
            <w:pPr>
              <w:ind w:firstLine="1680" w:firstLineChars="800"/>
            </w:pPr>
          </w:p>
          <w:p>
            <w:r>
              <w:rPr>
                <w:rFonts w:hint="eastAsia"/>
              </w:rPr>
              <w:t>查看对设备采购的控制</w:t>
            </w:r>
            <w:r>
              <w:rPr>
                <w:rFonts w:hint="eastAsia"/>
                <w:u w:val="single"/>
              </w:rPr>
              <w:t>（审核周期内没设备采购）</w:t>
            </w:r>
          </w:p>
          <w:tbl>
            <w:tblPr>
              <w:tblStyle w:val="10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查看对设备维保的控制：</w:t>
            </w:r>
          </w:p>
          <w:p>
            <w:pPr>
              <w:pStyle w:val="22"/>
            </w:pPr>
            <w:r>
              <w:rPr>
                <w:rFonts w:hint="eastAsia"/>
              </w:rPr>
              <w:t>提供有</w:t>
            </w:r>
            <w:r>
              <w:rPr>
                <w:rFonts w:hint="eastAsia"/>
                <w:u w:val="single"/>
              </w:rPr>
              <w:t>《设备清单》、《设备检修计划》、《设备维修记录》</w:t>
            </w:r>
            <w:r>
              <w:rPr>
                <w:rFonts w:hint="eastAsia"/>
              </w:rPr>
              <w:t>等，随机抽取：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2"/>
              <w:gridCol w:w="1907"/>
              <w:gridCol w:w="1378"/>
              <w:gridCol w:w="1118"/>
              <w:gridCol w:w="29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7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设备名称</w:t>
                  </w:r>
                </w:p>
              </w:tc>
              <w:tc>
                <w:tcPr>
                  <w:tcW w:w="1378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维保日期</w:t>
                  </w:r>
                </w:p>
              </w:tc>
              <w:tc>
                <w:tcPr>
                  <w:tcW w:w="1118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维保周期</w:t>
                  </w:r>
                </w:p>
              </w:tc>
              <w:tc>
                <w:tcPr>
                  <w:tcW w:w="292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维保记录</w:t>
                  </w:r>
                </w:p>
              </w:tc>
              <w:tc>
                <w:tcPr>
                  <w:tcW w:w="1907" w:type="dxa"/>
                  <w:vAlign w:val="center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土豆去皮机</w:t>
                  </w:r>
                </w:p>
              </w:tc>
              <w:tc>
                <w:tcPr>
                  <w:tcW w:w="1378" w:type="dxa"/>
                </w:tcPr>
                <w:p>
                  <w:pPr>
                    <w:tabs>
                      <w:tab w:val="left" w:pos="450"/>
                    </w:tabs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202</w:t>
                  </w:r>
                  <w:r>
                    <w:rPr>
                      <w:sz w:val="21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-</w:t>
                  </w:r>
                  <w:r>
                    <w:rPr>
                      <w:sz w:val="21"/>
                      <w:szCs w:val="21"/>
                      <w:highlight w:val="none"/>
                    </w:rPr>
                    <w:t>4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-2</w:t>
                  </w:r>
                  <w:r>
                    <w:rPr>
                      <w:sz w:val="21"/>
                      <w:szCs w:val="21"/>
                      <w:highlight w:val="none"/>
                    </w:rPr>
                    <w:t>5</w:t>
                  </w:r>
                </w:p>
              </w:tc>
              <w:tc>
                <w:tcPr>
                  <w:tcW w:w="1118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季度</w:t>
                  </w:r>
                </w:p>
              </w:tc>
              <w:tc>
                <w:tcPr>
                  <w:tcW w:w="2922" w:type="dxa"/>
                </w:tcPr>
                <w:p>
                  <w:pPr>
                    <w:spacing w:line="240" w:lineRule="exact"/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清洗、保养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维保记录</w:t>
                  </w:r>
                </w:p>
              </w:tc>
              <w:tc>
                <w:tcPr>
                  <w:tcW w:w="1907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多功能切菜机</w:t>
                  </w:r>
                </w:p>
              </w:tc>
              <w:tc>
                <w:tcPr>
                  <w:tcW w:w="1378" w:type="dxa"/>
                </w:tcPr>
                <w:p>
                  <w:pPr>
                    <w:tabs>
                      <w:tab w:val="left" w:pos="450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202</w:t>
                  </w: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-</w:t>
                  </w:r>
                  <w:r>
                    <w:rPr>
                      <w:sz w:val="21"/>
                      <w:szCs w:val="21"/>
                    </w:rPr>
                    <w:t>4</w:t>
                  </w:r>
                  <w:r>
                    <w:rPr>
                      <w:rFonts w:hint="eastAsia"/>
                      <w:sz w:val="21"/>
                      <w:szCs w:val="21"/>
                    </w:rPr>
                    <w:t>-2</w:t>
                  </w:r>
                  <w:r>
                    <w:rPr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118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季度</w:t>
                  </w:r>
                </w:p>
              </w:tc>
              <w:tc>
                <w:tcPr>
                  <w:tcW w:w="2922" w:type="dxa"/>
                </w:tcPr>
                <w:p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清洗、保养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维保记录</w:t>
                  </w:r>
                </w:p>
              </w:tc>
              <w:tc>
                <w:tcPr>
                  <w:tcW w:w="1907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消毒柜</w:t>
                  </w:r>
                </w:p>
              </w:tc>
              <w:tc>
                <w:tcPr>
                  <w:tcW w:w="1378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202</w:t>
                  </w: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-</w:t>
                  </w:r>
                  <w:r>
                    <w:rPr>
                      <w:sz w:val="21"/>
                      <w:szCs w:val="21"/>
                    </w:rPr>
                    <w:t>4.25</w:t>
                  </w:r>
                </w:p>
              </w:tc>
              <w:tc>
                <w:tcPr>
                  <w:tcW w:w="1118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每季</w:t>
                  </w:r>
                </w:p>
              </w:tc>
              <w:tc>
                <w:tcPr>
                  <w:tcW w:w="2922" w:type="dxa"/>
                </w:tcPr>
                <w:p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清洗、保养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维保记录</w:t>
                  </w:r>
                </w:p>
              </w:tc>
              <w:tc>
                <w:tcPr>
                  <w:tcW w:w="1907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旋转炒锅</w:t>
                  </w:r>
                </w:p>
              </w:tc>
              <w:tc>
                <w:tcPr>
                  <w:tcW w:w="1378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202</w:t>
                  </w: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-</w:t>
                  </w:r>
                  <w:r>
                    <w:rPr>
                      <w:sz w:val="21"/>
                      <w:szCs w:val="21"/>
                    </w:rPr>
                    <w:t>7</w:t>
                  </w:r>
                  <w:r>
                    <w:rPr>
                      <w:rFonts w:hint="eastAsia"/>
                      <w:sz w:val="21"/>
                      <w:szCs w:val="21"/>
                    </w:rPr>
                    <w:t>-</w:t>
                  </w:r>
                  <w:r>
                    <w:rPr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1118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每季</w:t>
                  </w:r>
                </w:p>
              </w:tc>
              <w:tc>
                <w:tcPr>
                  <w:tcW w:w="2922" w:type="dxa"/>
                </w:tcPr>
                <w:p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清洗、保养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维保记录</w:t>
                  </w:r>
                </w:p>
              </w:tc>
              <w:tc>
                <w:tcPr>
                  <w:tcW w:w="1907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洗盒机</w:t>
                  </w:r>
                </w:p>
              </w:tc>
              <w:tc>
                <w:tcPr>
                  <w:tcW w:w="1378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202</w:t>
                  </w: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-</w:t>
                  </w:r>
                  <w:r>
                    <w:rPr>
                      <w:sz w:val="21"/>
                      <w:szCs w:val="21"/>
                    </w:rPr>
                    <w:t>7</w:t>
                  </w:r>
                  <w:r>
                    <w:rPr>
                      <w:rFonts w:hint="eastAsia"/>
                      <w:sz w:val="21"/>
                      <w:szCs w:val="21"/>
                    </w:rPr>
                    <w:t>-</w:t>
                  </w:r>
                  <w:r>
                    <w:rPr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1118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每季</w:t>
                  </w:r>
                </w:p>
              </w:tc>
              <w:tc>
                <w:tcPr>
                  <w:tcW w:w="2922" w:type="dxa"/>
                </w:tcPr>
                <w:p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清洗、保养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维保记录</w:t>
                  </w:r>
                </w:p>
              </w:tc>
              <w:tc>
                <w:tcPr>
                  <w:tcW w:w="1907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冰箱/冷库</w:t>
                  </w:r>
                </w:p>
              </w:tc>
              <w:tc>
                <w:tcPr>
                  <w:tcW w:w="1378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022.5.12</w:t>
                  </w:r>
                </w:p>
              </w:tc>
              <w:tc>
                <w:tcPr>
                  <w:tcW w:w="1118" w:type="dxa"/>
                </w:tcPr>
                <w:p>
                  <w:pPr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hint="eastAsia" w:ascii="Calibri" w:hAnsi="Calibri"/>
                      <w:sz w:val="21"/>
                      <w:szCs w:val="21"/>
                    </w:rPr>
                    <w:t>不定期</w:t>
                  </w:r>
                </w:p>
              </w:tc>
              <w:tc>
                <w:tcPr>
                  <w:tcW w:w="292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除霜，清洁</w:t>
                  </w:r>
                </w:p>
              </w:tc>
            </w:tr>
          </w:tbl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抽查等提供了六个车辆行驶证，均在有效期。车辆由外部统一维保和维修，一般万公里保养，本次审核因该组织体系运行时间不久，因此未涉及。</w:t>
            </w:r>
          </w:p>
          <w:p>
            <w:pPr>
              <w:pStyle w:val="8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查看对设施、设备等维修的控制，目前因主要为新购置设备，在体系导入审核周期内未发生维修情况。</w:t>
            </w:r>
          </w:p>
          <w:tbl>
            <w:tblPr>
              <w:tblStyle w:val="10"/>
              <w:tblW w:w="103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0"/>
              <w:gridCol w:w="2260"/>
              <w:gridCol w:w="1420"/>
              <w:gridCol w:w="1420"/>
              <w:gridCol w:w="1860"/>
              <w:gridCol w:w="1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/>
              </w:tc>
              <w:tc>
                <w:tcPr>
                  <w:tcW w:w="1420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226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 xml:space="preserve">口合格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/>
              </w:tc>
              <w:tc>
                <w:tcPr>
                  <w:tcW w:w="226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 xml:space="preserve">口合格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/>
              </w:tc>
              <w:tc>
                <w:tcPr>
                  <w:tcW w:w="226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 xml:space="preserve">口合格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不适用，抽查如下：</w:t>
            </w:r>
          </w:p>
          <w:tbl>
            <w:tblPr>
              <w:tblStyle w:val="10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7"/>
              <w:gridCol w:w="1045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045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6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>
            <w:pPr>
              <w:pStyle w:val="8"/>
            </w:pP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919"/>
              <w:gridCol w:w="2115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2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042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2115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042" w:type="dxa"/>
                  <w:gridSpan w:val="2"/>
                  <w:vMerge w:val="continue"/>
                </w:tcPr>
                <w:p/>
              </w:tc>
              <w:tc>
                <w:tcPr>
                  <w:tcW w:w="211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042" w:type="dxa"/>
                  <w:gridSpan w:val="2"/>
                  <w:vMerge w:val="continue"/>
                </w:tcPr>
                <w:p/>
              </w:tc>
              <w:tc>
                <w:tcPr>
                  <w:tcW w:w="2115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042" w:type="dxa"/>
                  <w:gridSpan w:val="2"/>
                  <w:vMerge w:val="continue"/>
                </w:tcPr>
                <w:p/>
              </w:tc>
              <w:tc>
                <w:tcPr>
                  <w:tcW w:w="2115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2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2115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2" w:type="dxa"/>
                  <w:gridSpan w:val="2"/>
                  <w:vMerge w:val="continue"/>
                </w:tcPr>
                <w:p/>
              </w:tc>
              <w:tc>
                <w:tcPr>
                  <w:tcW w:w="211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2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919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2115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919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2115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919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2115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919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2115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919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2115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919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2115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919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2115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/>
        </w:tc>
        <w:tc>
          <w:tcPr>
            <w:tcW w:w="7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30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设计和开发控制程序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3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目前进行设计开发项目的性质：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新产品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新服务项目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技术改进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设计开发的主体：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自主开发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外包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购买新技术  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抽取设计开发项目——审核周期内未发生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98"/>
              <w:gridCol w:w="3536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8" w:type="dxa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trike/>
                      <w:dstrike w:val="0"/>
                      <w:color w:val="auto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353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b/>
                      <w:bCs/>
                      <w:strike/>
                      <w:dstrike w:val="0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strike/>
                      <w:dstrike w:val="0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lang w:val="en-US" w:eastAsia="zh-CN"/>
                    </w:rPr>
                    <w:t xml:space="preserve">新产品 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lang w:val="en-US" w:eastAsia="zh-CN"/>
                    </w:rPr>
                    <w:t xml:space="preserve">新服务项目 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lang w:val="en-US" w:eastAsia="zh-CN"/>
                    </w:rPr>
                    <w:t>技术改进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8" w:type="dxa"/>
                </w:tcPr>
                <w:p>
                  <w:pPr>
                    <w:rPr>
                      <w:rFonts w:hint="default"/>
                      <w:b/>
                      <w:bCs/>
                      <w:strike/>
                      <w:dstrike w:val="0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职业健康安全考虑内容</w:t>
                  </w:r>
                </w:p>
              </w:tc>
              <w:tc>
                <w:tcPr>
                  <w:tcW w:w="353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strike/>
                      <w:dstrike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8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3536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8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u w:val="none"/>
                      <w:lang w:val="en-US" w:eastAsia="zh-CN"/>
                    </w:rPr>
                    <w:t>设计开发的性质</w:t>
                  </w:r>
                </w:p>
              </w:tc>
              <w:tc>
                <w:tcPr>
                  <w:tcW w:w="3536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lang w:val="en-US" w:eastAsia="zh-CN"/>
                    </w:rPr>
                    <w:t xml:space="preserve">新产品 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lang w:val="en-US" w:eastAsia="zh-CN"/>
                    </w:rPr>
                    <w:t xml:space="preserve">新服务项目 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lang w:val="en-US" w:eastAsia="zh-CN"/>
                    </w:rPr>
                    <w:t>技术改进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/>
                      <w:dstrike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生产过程中危化品的使用和储存</w:t>
                  </w:r>
                </w:p>
              </w:tc>
              <w:tc>
                <w:tcPr>
                  <w:tcW w:w="3536" w:type="dxa"/>
                </w:tcPr>
                <w:p>
                  <w:pPr>
                    <w:rPr>
                      <w:rFonts w:hint="default"/>
                      <w:strike/>
                      <w:dstrike w:val="0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8" w:type="dxa"/>
                </w:tcPr>
                <w:p>
                  <w:pPr>
                    <w:rPr>
                      <w:rFonts w:hint="default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对于作业空间适宜性的考虑</w:t>
                  </w:r>
                </w:p>
              </w:tc>
              <w:tc>
                <w:tcPr>
                  <w:tcW w:w="3536" w:type="dxa"/>
                </w:tcPr>
                <w:p>
                  <w:pPr>
                    <w:rPr>
                      <w:rFonts w:hint="default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/>
                      <w:dstrike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生产过程中设备安全性的考虑</w:t>
                  </w:r>
                </w:p>
              </w:tc>
              <w:tc>
                <w:tcPr>
                  <w:tcW w:w="3536" w:type="dxa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8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u w:val="none"/>
                      <w:lang w:val="en-US" w:eastAsia="zh-CN"/>
                    </w:rPr>
                    <w:t>消防备案和三同时的充分性</w:t>
                  </w:r>
                </w:p>
              </w:tc>
              <w:tc>
                <w:tcPr>
                  <w:tcW w:w="3536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98" w:type="dxa"/>
                </w:tcPr>
                <w:p>
                  <w:pPr>
                    <w:rPr>
                      <w:rFonts w:hint="default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生产过程中产生安全（工伤）隐患</w:t>
                  </w:r>
                </w:p>
              </w:tc>
              <w:tc>
                <w:tcPr>
                  <w:tcW w:w="3536" w:type="dxa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/>
                      <w:dstrike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生产过程中产生职业病因素</w:t>
                  </w:r>
                </w:p>
              </w:tc>
              <w:tc>
                <w:tcPr>
                  <w:tcW w:w="3536" w:type="dxa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/>
                      <w:dstrike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生产过程中劳保用品的考虑</w:t>
                  </w:r>
                </w:p>
              </w:tc>
              <w:tc>
                <w:tcPr>
                  <w:tcW w:w="3536" w:type="dxa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售后安装调试过程中产生危险</w:t>
                  </w:r>
                </w:p>
              </w:tc>
              <w:tc>
                <w:tcPr>
                  <w:tcW w:w="3536" w:type="dxa"/>
                </w:tcPr>
                <w:p>
                  <w:pPr>
                    <w:rPr>
                      <w:rFonts w:hint="default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/>
                      <w:dstrike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售后安装调试过程中产生职业危害</w:t>
                  </w:r>
                </w:p>
              </w:tc>
              <w:tc>
                <w:tcPr>
                  <w:tcW w:w="3536" w:type="dxa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8" w:type="dxa"/>
                </w:tcPr>
                <w:p>
                  <w:pPr>
                    <w:rPr>
                      <w:rFonts w:hint="default"/>
                      <w:strike/>
                      <w:dstrike w:val="0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lang w:val="en-US" w:eastAsia="zh-CN"/>
                    </w:rPr>
                    <w:t>成品的MSDS制订</w:t>
                  </w:r>
                </w:p>
              </w:tc>
              <w:tc>
                <w:tcPr>
                  <w:tcW w:w="3536" w:type="dxa"/>
                </w:tcPr>
                <w:p>
                  <w:pPr>
                    <w:rPr>
                      <w:rFonts w:hint="default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color w:val="auto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变更管理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304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《QEO管理手册》手册第8章、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304" w:type="dxa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>工作场所的位置和周边环境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>工作组织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>工作条件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设备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劳动力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法律法规要求和其他要求的变更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有关危险源和职业健康安全风险的知识或信息的变更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知识和技术的发展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color w:val="auto"/>
                <w:highlight w:val="none"/>
              </w:rPr>
              <w:t>；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抽取变更相关记录名称：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 审核周期内未发生变更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320"/>
              <w:gridCol w:w="1342"/>
              <w:gridCol w:w="2304"/>
              <w:gridCol w:w="1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34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2304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变更性质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4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04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临时性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30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临时性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304" w:type="dxa"/>
          </w:tcPr>
          <w:p>
            <w:pPr>
              <w:spacing w:line="360" w:lineRule="auto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如：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eq \o\ac(□,√)</w:instrTex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QEO管理</w:t>
            </w:r>
            <w:r>
              <w:rPr>
                <w:rFonts w:hint="default" w:ascii="Times New Roman" w:hAnsi="Times New Roman" w:cs="Times New Roman"/>
              </w:rPr>
              <w:t>手册</w:t>
            </w:r>
            <w:r>
              <w:rPr>
                <w:rFonts w:hint="default" w:ascii="Times New Roman" w:hAnsi="Times New Roman" w:cs="Times New Roman"/>
                <w:lang w:eastAsia="zh-CN"/>
              </w:rPr>
              <w:t>》</w:t>
            </w:r>
            <w:r>
              <w:rPr>
                <w:rFonts w:hint="default" w:ascii="Times New Roman" w:hAnsi="Times New Roman" w:cs="Times New Roman"/>
              </w:rPr>
              <w:t>8.5条款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" w:char="00FE"/>
            </w:r>
            <w:r>
              <w:rPr>
                <w:rFonts w:hint="default" w:ascii="Times New Roman" w:hAnsi="Times New Roman" w:cs="Times New Roman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环境和职业健康安全运行控制程序</w:t>
            </w:r>
            <w:r>
              <w:rPr>
                <w:rFonts w:hint="default" w:ascii="Times New Roman" w:hAnsi="Times New Roman" w:cs="Times New Roman"/>
                <w:lang w:eastAsia="zh-CN"/>
              </w:rPr>
              <w:t>》</w:t>
            </w:r>
            <w:r>
              <w:rPr>
                <w:rFonts w:hint="default" w:ascii="Times New Roman" w:hAnsi="Times New Roman" w:cs="Times New Roman"/>
              </w:rPr>
              <w:t>、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eq \o\ac(□,√)</w:instrTex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  <w:r>
              <w:rPr>
                <w:rFonts w:hint="default" w:ascii="Times New Roman" w:hAnsi="Times New Roman" w:cs="Times New Roman"/>
              </w:rPr>
              <w:t>《产品/服务提供控制程序》、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eq \o\ac(□,√)</w:instrTex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  <w:r>
              <w:rPr>
                <w:rFonts w:hint="default" w:ascii="Times New Roman" w:hAnsi="Times New Roman" w:cs="Times New Roman"/>
              </w:rPr>
              <w:t>《工艺流程图》、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eq \o\ac(□,√)</w:instrTex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  <w:r>
              <w:rPr>
                <w:rFonts w:hint="default" w:ascii="Times New Roman" w:hAnsi="Times New Roman" w:cs="Times New Roman"/>
              </w:rPr>
              <w:t>《作业指导书》、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eq \o\ac(□,√)</w:instrTex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  <w:r>
              <w:rPr>
                <w:rFonts w:hint="default" w:ascii="Times New Roman" w:hAnsi="Times New Roman" w:cs="Times New Roman"/>
              </w:rPr>
              <w:t>《操作规程》、《危害控制计划/HACCP计划》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304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危险源因素的控制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作业指导书、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《工艺流程图》、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《操作规程》、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《送货单》，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《餐饮服务H</w:t>
            </w:r>
            <w:r>
              <w:t>ACCP</w:t>
            </w:r>
            <w:r>
              <w:rPr>
                <w:rFonts w:hint="eastAsia"/>
              </w:rPr>
              <w:t>计划》等：</w:t>
            </w:r>
          </w:p>
          <w:p>
            <w:pPr>
              <w:pStyle w:val="22"/>
              <w:rPr>
                <w:u w:val="single"/>
              </w:rPr>
            </w:pPr>
            <w:r>
              <w:rPr>
                <w:rFonts w:hint="eastAsia"/>
                <w:u w:val="single"/>
              </w:rPr>
              <w:t>集体用餐配送（热食类食品制售）基本流程：</w:t>
            </w:r>
          </w:p>
          <w:p>
            <w:pPr>
              <w:pStyle w:val="22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原辅料验收</w:t>
            </w:r>
            <w:r>
              <w:rPr>
                <w:u w:val="single"/>
              </w:rPr>
              <w:t>→</w:t>
            </w:r>
            <w:r>
              <w:rPr>
                <w:rFonts w:hint="eastAsia"/>
                <w:u w:val="single"/>
              </w:rPr>
              <w:t>原料储存</w:t>
            </w:r>
            <w:r>
              <w:rPr>
                <w:u w:val="single"/>
              </w:rPr>
              <w:t>→</w:t>
            </w:r>
            <w:r>
              <w:rPr>
                <w:rFonts w:hint="eastAsia"/>
                <w:u w:val="single"/>
              </w:rPr>
              <w:t>清理/挑选</w:t>
            </w:r>
            <w:r>
              <w:rPr>
                <w:u w:val="single"/>
              </w:rPr>
              <w:t>→</w:t>
            </w:r>
            <w:r>
              <w:rPr>
                <w:rFonts w:hint="eastAsia"/>
                <w:u w:val="single"/>
              </w:rPr>
              <w:t>切割</w:t>
            </w:r>
            <w:r>
              <w:rPr>
                <w:u w:val="single"/>
              </w:rPr>
              <w:t>→</w:t>
            </w:r>
            <w:r>
              <w:rPr>
                <w:rFonts w:hint="eastAsia"/>
                <w:u w:val="single"/>
              </w:rPr>
              <w:t>熟制</w:t>
            </w:r>
            <w:r>
              <w:rPr>
                <w:u w:val="single"/>
              </w:rPr>
              <w:t>→</w:t>
            </w:r>
            <w:r>
              <w:rPr>
                <w:rFonts w:hint="eastAsia"/>
                <w:u w:val="single"/>
              </w:rPr>
              <w:t>配餐</w:t>
            </w:r>
            <w:r>
              <w:rPr>
                <w:u w:val="single"/>
              </w:rPr>
              <w:t>→</w:t>
            </w:r>
            <w:r>
              <w:rPr>
                <w:rFonts w:hint="eastAsia"/>
                <w:u w:val="single"/>
              </w:rPr>
              <w:t>分餐</w:t>
            </w:r>
            <w:r>
              <w:rPr>
                <w:u w:val="single"/>
              </w:rPr>
              <w:t>→</w:t>
            </w:r>
            <w:r>
              <w:rPr>
                <w:rFonts w:hint="eastAsia"/>
                <w:u w:val="single"/>
              </w:rPr>
              <w:t>餐具回收</w:t>
            </w:r>
          </w:p>
          <w:p>
            <w:pPr>
              <w:rPr>
                <w:u w:val="single"/>
              </w:rPr>
            </w:pPr>
            <w:r>
              <w:rPr>
                <w:u w:val="single"/>
              </w:rPr>
              <w:t>餐具清洗消毒：</w:t>
            </w:r>
          </w:p>
          <w:p>
            <w:pPr>
              <w:rPr>
                <w:u w:val="single"/>
              </w:rPr>
            </w:pPr>
            <w:r>
              <w:rPr>
                <w:u w:val="single"/>
              </w:rPr>
              <w:t>餐具→回收→清洗→消毒→备用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>有——油烟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粉尘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酸性气体，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VOC      </w:t>
            </w:r>
          </w:p>
          <w:p>
            <w:pPr>
              <w:rPr>
                <w:rFonts w:hint="default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查看车间废气处理记录（适用时）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strike/>
                      <w:dstrike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废气所含物质</w:t>
                  </w: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strike/>
                      <w:dstrike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95" w:type="dxa"/>
                </w:tcPr>
                <w:p>
                  <w:pPr>
                    <w:rPr>
                      <w:rFonts w:hint="default"/>
                      <w:strike/>
                      <w:dstrike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41" w:type="dxa"/>
                </w:tcPr>
                <w:p>
                  <w:pPr>
                    <w:rPr>
                      <w:rFonts w:hint="default"/>
                      <w:strike/>
                      <w:dstrike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rFonts w:hint="default"/>
                      <w:strike/>
                      <w:dstrike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询问生产车间是否有较大噪声废气排放，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 xml:space="preserve">其他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询问减少噪声排放的措施：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询问生产车间是否使用危险化学品，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危化品的特性：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查看相关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MSDS或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告知牌的发放和使用情况，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不合格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查看车间危化品管理的情况（适用时）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009"/>
              <w:gridCol w:w="1459"/>
              <w:gridCol w:w="204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危化品名称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是否有MSDS</w:t>
                  </w: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危害特性</w:t>
                  </w: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控制措施要求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措施落实情况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液化石油气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</w:t>
                  </w: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易燃易爆</w:t>
                  </w: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气体报警器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现场已见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30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。□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生产/服务对危险废弃物的管理情况   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否——不涉及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否，现场胡**，按照操作规范进行实施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查看与</w: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  <w:lang w:eastAsia="zh-CN"/>
              </w:rPr>
              <w:t>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是否按操作要求进行操作。☑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的与</w: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  <w:lang w:eastAsia="zh-CN"/>
              </w:rPr>
              <w:t>有关的监视测量设备。□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否——不涉及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生产/服务的安全装置的完好情况          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是否按要求</w:t>
            </w:r>
            <w:r>
              <w:rPr>
                <w:rFonts w:hint="eastAsia"/>
                <w:lang w:val="en-US" w:eastAsia="zh-CN"/>
              </w:rPr>
              <w:t xml:space="preserve">佩戴劳保用品    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  员工未按要求佩戴普通劳保用品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查看消防设施的完好情况和日常检查情况</w:t>
            </w:r>
          </w:p>
          <w:p>
            <w:pPr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提供有《消防巡检记录表》，现场消防栓、灭火器进行点检，随机抽取灭火器，在有效期内。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0000FF"/>
                <w:kern w:val="2"/>
                <w:sz w:val="21"/>
                <w:u w:val="single"/>
                <w:lang w:val="en-US" w:eastAsia="zh-CN" w:bidi="ar-SA"/>
              </w:rPr>
              <w:t>提供有《部门检查记录》，每2个月进行一次检查，策划周期偏长，已与企业沟通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O8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3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如：《化学品管理控制程序》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《库房管理制度》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3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化学品（常规化学品）防护性要求：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保护</w:t>
            </w:r>
          </w:p>
          <w:p/>
          <w:p>
            <w:pPr>
              <w:rPr>
                <w:rFonts w:hint="eastAsia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对剧毒品的管理：（适用时）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目前的剧毒品名称：</w:t>
            </w:r>
            <w:r>
              <w:rPr>
                <w:rFonts w:hint="eastAsia"/>
                <w:strike/>
                <w:dstrike w:val="0"/>
                <w:u w:val="single"/>
                <w:lang w:val="en-US" w:eastAsia="zh-CN"/>
              </w:rPr>
              <w:t xml:space="preserve">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304" w:type="dxa"/>
          </w:tcPr>
          <w:p>
            <w:pPr>
              <w:rPr>
                <w:rFonts w:hint="default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五双管理：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双人入库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双人领用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双账簿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双锁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双人出库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现场化学品主要是洗洁精、84消毒液、洗手液等常规化学品，以及管道式液化石油气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洗洁精、84消毒液 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strike/>
                <w:dstrike w:val="0"/>
                <w:u w:val="singl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危险废物</w:t>
            </w:r>
            <w:r>
              <w:rPr>
                <w:rFonts w:hint="eastAsia"/>
                <w:strike/>
                <w:dstrike w:val="0"/>
              </w:rPr>
              <w:t>库房管理</w:t>
            </w:r>
            <w:r>
              <w:rPr>
                <w:rFonts w:hint="eastAsia"/>
                <w:strike/>
                <w:dstrike w:val="0"/>
                <w:lang w:eastAsia="zh-CN"/>
              </w:rPr>
              <w:t>：</w:t>
            </w:r>
            <w:r>
              <w:rPr>
                <w:rFonts w:hint="eastAsia"/>
                <w:strike/>
                <w:dstrike w:val="0"/>
                <w:lang w:val="en-US" w:eastAsia="zh-CN"/>
              </w:rPr>
              <w:t>抽查半成品名称：</w:t>
            </w:r>
            <w:r>
              <w:rPr>
                <w:rFonts w:hint="eastAsia"/>
                <w:strike/>
                <w:dstrike w:val="0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 w:eastAsia="宋体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</w:rPr>
              <w:t>分类存放</w:t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有MSDS或告知卡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防泄露措施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消防措施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</w:rPr>
              <w:t>储存温度</w:t>
            </w:r>
            <w:r>
              <w:rPr>
                <w:rFonts w:hint="eastAsia"/>
                <w:strike/>
                <w:dstrike w:val="0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</w:rPr>
              <w:t>湿度</w:t>
            </w:r>
            <w:r>
              <w:rPr>
                <w:rFonts w:hint="eastAsia"/>
                <w:strike/>
                <w:dstrike w:val="0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 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防渗漏措施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>其他</w:t>
            </w:r>
          </w:p>
          <w:p>
            <w:pPr>
              <w:rPr>
                <w:rFonts w:hint="default"/>
                <w:strike/>
                <w:dstrike w:val="0"/>
                <w:lang w:val="en-US" w:eastAsia="zh-CN"/>
              </w:rPr>
            </w:pPr>
          </w:p>
          <w:p>
            <w:pPr>
              <w:rPr>
                <w:rFonts w:hint="eastAsia"/>
                <w:strike/>
                <w:dstrike w:val="0"/>
                <w:highlight w:val="non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叉车加油和充电情况控制：</w:t>
            </w:r>
          </w:p>
          <w:p>
            <w:pPr>
              <w:rPr>
                <w:rFonts w:hint="eastAsia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燃油叉车有固定加油点：        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是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>否</w:t>
            </w:r>
          </w:p>
          <w:p>
            <w:pPr>
              <w:rPr>
                <w:rFonts w:hint="eastAsia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 xml:space="preserve">叉车加油时是否有防泄露/渗漏等措施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是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>否</w:t>
            </w:r>
          </w:p>
          <w:p>
            <w:pPr>
              <w:rPr>
                <w:rFonts w:hint="eastAsia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 xml:space="preserve">叉车加油处是否有消防措施       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是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>否</w:t>
            </w:r>
          </w:p>
          <w:p>
            <w:pPr>
              <w:rPr>
                <w:rFonts w:hint="eastAsia"/>
                <w:strike/>
                <w:dstrike w:val="0"/>
                <w:lang w:val="en-US" w:eastAsia="zh-CN"/>
              </w:rPr>
            </w:pPr>
          </w:p>
          <w:p>
            <w:pPr>
              <w:rPr>
                <w:rFonts w:hint="eastAsia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叉车</w:t>
            </w:r>
            <w:r>
              <w:rPr>
                <w:rFonts w:hint="eastAsia"/>
                <w:strike/>
                <w:dstrike w:val="0"/>
                <w:lang w:val="en-US" w:eastAsia="zh-CN"/>
              </w:rPr>
              <w:t>充电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场所是否通风          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是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>否</w:t>
            </w:r>
          </w:p>
          <w:p>
            <w:pPr>
              <w:rPr>
                <w:rFonts w:hint="default"/>
                <w:strike/>
                <w:dstrike w:val="0"/>
                <w:highlight w:val="non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充电电源是否有充满断电的功能   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是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>否</w:t>
            </w:r>
          </w:p>
          <w:p>
            <w:pPr>
              <w:rPr>
                <w:rFonts w:hint="default"/>
                <w:strike/>
                <w:dstrike w:val="0"/>
                <w:highlight w:val="non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 xml:space="preserve">叉车充电处是否有消防措施       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是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>否</w:t>
            </w:r>
          </w:p>
          <w:p>
            <w:pPr>
              <w:rPr>
                <w:rFonts w:hint="default"/>
                <w:strike/>
                <w:dstrike w:val="0"/>
                <w:highlight w:val="non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 xml:space="preserve">叉车充电处是否有禁火标识       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是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运行控制（公用工程）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/>
        </w:tc>
        <w:tc>
          <w:tcPr>
            <w:tcW w:w="7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30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环境和职业健康安全运行控制程序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304" w:type="dxa"/>
          </w:tcPr>
          <w:p>
            <w:pPr>
              <w:rPr>
                <w:rFonts w:hint="eastAsia"/>
                <w:strike/>
                <w:dstrike w:val="0"/>
                <w:highlight w:val="non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污水处理站：</w:t>
            </w:r>
          </w:p>
          <w:p>
            <w:pPr>
              <w:rPr>
                <w:rFonts w:hint="default"/>
                <w:strike/>
                <w:dstrike w:val="0"/>
                <w:highlight w:val="non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处理的主要使用的危化品：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酸 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碱 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三氧化铝  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其他     </w:t>
            </w:r>
          </w:p>
          <w:p>
            <w:pPr>
              <w:rPr>
                <w:rFonts w:hint="default"/>
                <w:strike/>
                <w:dstrike w:val="0"/>
                <w:highlight w:val="non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处理设施：</w:t>
            </w:r>
          </w:p>
          <w:p>
            <w:pPr>
              <w:rPr>
                <w:rFonts w:hint="default"/>
                <w:strike/>
                <w:dstrike w:val="0"/>
                <w:highlight w:val="non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沉淀池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调节池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厌氧池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有氧池 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重金属  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strike/>
                <w:dstrike w:val="0"/>
                <w:highlight w:val="non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现场查看：</w:t>
            </w:r>
          </w:p>
          <w:p>
            <w:pPr>
              <w:rPr>
                <w:rFonts w:hint="default"/>
                <w:strike/>
                <w:dstrike w:val="0"/>
                <w:highlight w:val="non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酸碱罐下是否有围堰                        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有  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无</w:t>
            </w:r>
          </w:p>
          <w:p>
            <w:pPr>
              <w:rPr>
                <w:rFonts w:hint="default"/>
                <w:strike/>
                <w:dstrike w:val="0"/>
                <w:highlight w:val="non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各种处理池的护栏高度是否达到1.1米         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否</w:t>
            </w:r>
          </w:p>
          <w:p>
            <w:pPr>
              <w:rPr>
                <w:rFonts w:hint="default"/>
                <w:strike/>
                <w:dstrike w:val="0"/>
                <w:highlight w:val="non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员工是否发放和佩戴了适用的劳保用品        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否</w:t>
            </w:r>
          </w:p>
          <w:p>
            <w:pPr>
              <w:rPr>
                <w:rFonts w:hint="eastAsia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锅炉房：</w:t>
            </w:r>
            <w:r>
              <w:rPr>
                <w:rFonts w:hint="eastAsia"/>
                <w:strike/>
                <w:dstrike w:val="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台； </w:t>
            </w:r>
            <w:r>
              <w:rPr>
                <w:rFonts w:hint="eastAsia"/>
                <w:strike/>
                <w:dstrike w:val="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t>吨；</w:t>
            </w:r>
          </w:p>
          <w:p>
            <w:pPr>
              <w:rPr>
                <w:rFonts w:hint="eastAsia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锅炉种类：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燃煤锅炉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燃油锅炉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燃气锅炉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压力锅炉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负压锅炉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>负压锅炉</w:t>
            </w:r>
          </w:p>
          <w:p>
            <w:pPr>
              <w:rPr>
                <w:rFonts w:hint="eastAsia"/>
                <w:strike/>
                <w:dstrike w:val="0"/>
                <w:lang w:val="en-US" w:eastAsia="zh-CN"/>
              </w:rPr>
            </w:pPr>
          </w:p>
          <w:p>
            <w:pPr>
              <w:rPr>
                <w:rFonts w:hint="eastAsia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对于燃煤锅炉：查看燃煤的含硫量：</w:t>
            </w:r>
            <w:r>
              <w:rPr>
                <w:rFonts w:hint="eastAsia"/>
                <w:strike/>
                <w:dstrike w:val="0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trike/>
                <w:dstrike w:val="0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strike/>
                <w:dstrike w:val="0"/>
                <w:vertAlign w:val="baseline"/>
                <w:lang w:val="en-US" w:eastAsia="zh-CN"/>
              </w:rPr>
              <w:t xml:space="preserve">合格 </w:t>
            </w:r>
            <w:r>
              <w:rPr>
                <w:rFonts w:hint="eastAsia"/>
                <w:strike/>
                <w:dstrike w:val="0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strike/>
                <w:dstrike w:val="0"/>
                <w:vertAlign w:val="baseline"/>
                <w:lang w:val="en-US" w:eastAsia="zh-CN"/>
              </w:rPr>
              <w:t>不合格</w:t>
            </w:r>
          </w:p>
          <w:p>
            <w:pPr>
              <w:rPr>
                <w:rFonts w:hint="eastAsia"/>
                <w:strike/>
                <w:dstrike w:val="0"/>
                <w:lang w:val="en-US" w:eastAsia="zh-CN"/>
              </w:rPr>
            </w:pPr>
          </w:p>
          <w:p>
            <w:pPr>
              <w:rPr>
                <w:rFonts w:hint="eastAsia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对于燃气锅炉：查看可燃气体报警器的含量：</w:t>
            </w:r>
            <w:r>
              <w:rPr>
                <w:rFonts w:hint="eastAsia"/>
                <w:strike/>
                <w:dstrike w:val="0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trike/>
                <w:dstrike w:val="0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strike/>
                <w:dstrike w:val="0"/>
                <w:vertAlign w:val="baseline"/>
                <w:lang w:val="en-US" w:eastAsia="zh-CN"/>
              </w:rPr>
              <w:t xml:space="preserve">合格 </w:t>
            </w:r>
            <w:r>
              <w:rPr>
                <w:rFonts w:hint="eastAsia"/>
                <w:strike/>
                <w:dstrike w:val="0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strike/>
                <w:dstrike w:val="0"/>
                <w:vertAlign w:val="baseline"/>
                <w:lang w:val="en-US" w:eastAsia="zh-CN"/>
              </w:rPr>
              <w:t>不合格</w:t>
            </w:r>
          </w:p>
          <w:p>
            <w:pPr>
              <w:rPr>
                <w:rFonts w:hint="default"/>
                <w:strike/>
                <w:dstrike w:val="0"/>
                <w:lang w:val="en-US" w:eastAsia="zh-CN"/>
              </w:rPr>
            </w:pPr>
          </w:p>
          <w:p>
            <w:pPr>
              <w:rPr>
                <w:rFonts w:hint="default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抽查锅炉操作记录：</w:t>
            </w:r>
          </w:p>
          <w:tbl>
            <w:tblPr>
              <w:tblStyle w:val="10"/>
              <w:tblW w:w="132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34"/>
              <w:gridCol w:w="1121"/>
              <w:gridCol w:w="1146"/>
              <w:gridCol w:w="1462"/>
              <w:gridCol w:w="2171"/>
              <w:gridCol w:w="2109"/>
              <w:gridCol w:w="2109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4218" w:type="dxa"/>
              </w:trPr>
              <w:tc>
                <w:tcPr>
                  <w:tcW w:w="1034" w:type="dxa"/>
                </w:tcPr>
                <w:p>
                  <w:pPr>
                    <w:rPr>
                      <w:rFonts w:hint="default"/>
                      <w:strike/>
                      <w:dstrike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121" w:type="dxa"/>
                </w:tcPr>
                <w:p>
                  <w:pPr>
                    <w:rPr>
                      <w:rFonts w:hint="default"/>
                      <w:strike/>
                      <w:dstrike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lang w:val="en-US" w:eastAsia="zh-CN"/>
                    </w:rPr>
                    <w:t>炉水PH</w:t>
                  </w:r>
                </w:p>
              </w:tc>
              <w:tc>
                <w:tcPr>
                  <w:tcW w:w="1146" w:type="dxa"/>
                </w:tcPr>
                <w:p>
                  <w:pPr>
                    <w:rPr>
                      <w:rFonts w:hint="default"/>
                      <w:strike/>
                      <w:dstrike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操作要求</w:t>
                  </w:r>
                </w:p>
              </w:tc>
              <w:tc>
                <w:tcPr>
                  <w:tcW w:w="1462" w:type="dxa"/>
                </w:tcPr>
                <w:p>
                  <w:pP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u w:val="none"/>
                      <w:lang w:val="en-US" w:eastAsia="zh-CN"/>
                    </w:rPr>
                    <w:t>现场实测</w:t>
                  </w:r>
                </w:p>
              </w:tc>
              <w:tc>
                <w:tcPr>
                  <w:tcW w:w="2171" w:type="dxa"/>
                </w:tcPr>
                <w:p>
                  <w:pPr>
                    <w:rPr>
                      <w:rFonts w:hint="default"/>
                      <w:strike/>
                      <w:dstrike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压力情况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4218" w:type="dxa"/>
              </w:trPr>
              <w:tc>
                <w:tcPr>
                  <w:tcW w:w="1034" w:type="dxa"/>
                </w:tcPr>
                <w:p>
                  <w:pPr>
                    <w:rPr>
                      <w:rFonts w:hint="default"/>
                      <w:strike/>
                      <w:dstrike w:val="0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121" w:type="dxa"/>
                </w:tcPr>
                <w:p>
                  <w:pPr>
                    <w:rPr>
                      <w:rFonts w:hint="eastAsia"/>
                      <w:strike/>
                      <w:dstrike w:val="0"/>
                      <w:lang w:val="en-US" w:eastAsia="zh-CN"/>
                    </w:rPr>
                  </w:pPr>
                </w:p>
              </w:tc>
              <w:tc>
                <w:tcPr>
                  <w:tcW w:w="1146" w:type="dxa"/>
                </w:tcPr>
                <w:p>
                  <w:pPr>
                    <w:rPr>
                      <w:rFonts w:hint="default"/>
                      <w:strike/>
                      <w:dstrike w:val="0"/>
                      <w:lang w:val="en-US" w:eastAsia="zh-CN"/>
                    </w:rPr>
                  </w:pPr>
                </w:p>
              </w:tc>
              <w:tc>
                <w:tcPr>
                  <w:tcW w:w="1462" w:type="dxa"/>
                </w:tcPr>
                <w:p>
                  <w:pPr>
                    <w:rPr>
                      <w:rFonts w:hint="default"/>
                      <w:strike/>
                      <w:dstrike w:val="0"/>
                      <w:lang w:val="en-US" w:eastAsia="zh-CN"/>
                    </w:rPr>
                  </w:pPr>
                </w:p>
              </w:tc>
              <w:tc>
                <w:tcPr>
                  <w:tcW w:w="2171" w:type="dxa"/>
                </w:tcPr>
                <w:p>
                  <w:pPr>
                    <w:rPr>
                      <w:rFonts w:hint="eastAsia"/>
                      <w:strike/>
                      <w:dstrike w:val="0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4218" w:type="dxa"/>
              </w:trPr>
              <w:tc>
                <w:tcPr>
                  <w:tcW w:w="1034" w:type="dxa"/>
                </w:tcPr>
                <w:p>
                  <w:pPr>
                    <w:rPr>
                      <w:rFonts w:hint="default"/>
                      <w:strike/>
                      <w:dstrike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21" w:type="dxa"/>
                </w:tcPr>
                <w:p>
                  <w:pP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6" w:type="dxa"/>
                </w:tcPr>
                <w:p>
                  <w:pP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2" w:type="dxa"/>
                </w:tcPr>
                <w:p>
                  <w:pP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71" w:type="dxa"/>
                </w:tcPr>
                <w:p>
                  <w:pP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4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1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不合格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不合格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default"/>
                <w:strike/>
                <w:dstrike w:val="0"/>
                <w:lang w:val="en-US" w:eastAsia="zh-CN"/>
              </w:rPr>
            </w:pPr>
          </w:p>
          <w:p>
            <w:pPr>
              <w:rPr>
                <w:rFonts w:hint="eastAsia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了解《锅炉应急预案》及应急演练情况：</w:t>
            </w:r>
            <w:r>
              <w:rPr>
                <w:rFonts w:hint="eastAsia"/>
                <w:strike/>
                <w:dstrike w:val="0"/>
                <w:u w:val="single"/>
                <w:lang w:val="en-US" w:eastAsia="zh-CN"/>
              </w:rPr>
              <w:t xml:space="preserve">                   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食堂环境管理</w:t>
            </w:r>
          </w:p>
          <w:p>
            <w:pP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食堂使用原料 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eastAsia="zh-CN"/>
              </w:rPr>
              <w:t>□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用电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□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天然气 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sym w:font="Wingdings 2" w:char="0052"/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液化石油气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□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柴油 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气体报警器配备情况：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使用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未使用 </w:t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——未提供检定/校准报告                   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查看吸排油烟机运转情况：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完好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不完好 </w:t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查看吸排油烟机表面日常清洁记录；日期：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查看吸排油烟机内部定期清洁记录；每月1次，第三方来厂进行，日期：2022-08-18,2022-09-09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吸排油烟机定期供方名称：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——综合部审核记录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资质证书编号：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——综合部审核记录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《清洁协议》有效期：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——综合部审核记录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按合同约定频次实施清洁；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地沟油定期清掏供方名称：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——综合部审核记录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资质证书编号：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——综合部审核记录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《清掏协议》是否有安全告知：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sym w:font="Wingdings 2" w:char="0052"/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3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不涉及道闸作业、配电室管理、临时用电作业、抽堵盲板作业等。现场无施工情况。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304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3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63"/>
              <w:gridCol w:w="2033"/>
              <w:gridCol w:w="1937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296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193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9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</w:t>
                  </w:r>
                  <w:r>
                    <w:rPr>
                      <w:rFonts w:hint="eastAsia"/>
                    </w:rPr>
                    <w:t>年</w:t>
                  </w:r>
                  <w:r>
                    <w:t>4</w:t>
                  </w:r>
                  <w:r>
                    <w:rPr>
                      <w:rFonts w:hint="eastAsia"/>
                    </w:rPr>
                    <w:t>月8日消防应急演练</w:t>
                  </w:r>
                </w:p>
              </w:tc>
              <w:tc>
                <w:tcPr>
                  <w:tcW w:w="20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9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火灾应急处理预案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96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1937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96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1937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96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1937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u w:val="single"/>
              </w:rPr>
              <w:t>2</w:t>
            </w:r>
            <w:r>
              <w:rPr>
                <w:u w:val="single"/>
              </w:rPr>
              <w:t>022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u w:val="single"/>
              </w:rPr>
              <w:t>4</w:t>
            </w:r>
            <w:r>
              <w:rPr>
                <w:rFonts w:hint="eastAsia"/>
                <w:u w:val="single"/>
              </w:rPr>
              <w:t>月8日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无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——不涉及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（告知方式）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-59690</wp:posOffset>
          </wp:positionV>
          <wp:extent cx="422275" cy="425450"/>
          <wp:effectExtent l="0" t="0" r="6350" b="317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27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0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883DB3"/>
    <w:rsid w:val="04981EC9"/>
    <w:rsid w:val="04C420B7"/>
    <w:rsid w:val="050D3D1E"/>
    <w:rsid w:val="05422E8D"/>
    <w:rsid w:val="05505823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700448C"/>
    <w:rsid w:val="07C13D29"/>
    <w:rsid w:val="07ED0401"/>
    <w:rsid w:val="081B6228"/>
    <w:rsid w:val="081F3AAC"/>
    <w:rsid w:val="08767210"/>
    <w:rsid w:val="0884117F"/>
    <w:rsid w:val="08851DD7"/>
    <w:rsid w:val="08A65A0B"/>
    <w:rsid w:val="08C22483"/>
    <w:rsid w:val="08ED1EE8"/>
    <w:rsid w:val="09005957"/>
    <w:rsid w:val="096333C5"/>
    <w:rsid w:val="0990192E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ED21275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25B35"/>
    <w:rsid w:val="10C54500"/>
    <w:rsid w:val="10D61701"/>
    <w:rsid w:val="10DD2E35"/>
    <w:rsid w:val="110345D0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B33C2B"/>
    <w:rsid w:val="17C079EC"/>
    <w:rsid w:val="17C85124"/>
    <w:rsid w:val="17F76BA3"/>
    <w:rsid w:val="18086A43"/>
    <w:rsid w:val="182A66F0"/>
    <w:rsid w:val="183B31BE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C392A3A"/>
    <w:rsid w:val="1C683E38"/>
    <w:rsid w:val="1CA302FB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0C29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391377"/>
    <w:rsid w:val="258041F6"/>
    <w:rsid w:val="258609CC"/>
    <w:rsid w:val="25B809C4"/>
    <w:rsid w:val="261B55F8"/>
    <w:rsid w:val="261B7A15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BF05C3F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B9062F"/>
    <w:rsid w:val="37BC7885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B3480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AB0370"/>
    <w:rsid w:val="3FC72695"/>
    <w:rsid w:val="3FD70A70"/>
    <w:rsid w:val="40140401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D51A1"/>
    <w:rsid w:val="453148E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ED577E"/>
    <w:rsid w:val="495D1E4B"/>
    <w:rsid w:val="49912790"/>
    <w:rsid w:val="49C0281D"/>
    <w:rsid w:val="49E3211A"/>
    <w:rsid w:val="49E449BF"/>
    <w:rsid w:val="49EC77B8"/>
    <w:rsid w:val="49ED5B1C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346CA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8E0486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161F0B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5367E4"/>
    <w:rsid w:val="5C8D6CFF"/>
    <w:rsid w:val="5C966EB6"/>
    <w:rsid w:val="5C9808B2"/>
    <w:rsid w:val="5CB336E1"/>
    <w:rsid w:val="5CB9068F"/>
    <w:rsid w:val="5CDB3014"/>
    <w:rsid w:val="5CED4821"/>
    <w:rsid w:val="5D013462"/>
    <w:rsid w:val="5D1F6ADC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0080F"/>
    <w:rsid w:val="5EB61B43"/>
    <w:rsid w:val="5EBA7075"/>
    <w:rsid w:val="5EBF5DC8"/>
    <w:rsid w:val="5F02275D"/>
    <w:rsid w:val="5F14059B"/>
    <w:rsid w:val="5F291E1B"/>
    <w:rsid w:val="5F551AC0"/>
    <w:rsid w:val="5F616E2A"/>
    <w:rsid w:val="5FA8436C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464EE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1A5777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694E80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033A1"/>
    <w:rsid w:val="695B5920"/>
    <w:rsid w:val="696661DB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B40EC2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2D6749"/>
    <w:rsid w:val="7A531881"/>
    <w:rsid w:val="7A594332"/>
    <w:rsid w:val="7A8564DB"/>
    <w:rsid w:val="7A946C2F"/>
    <w:rsid w:val="7A9A559C"/>
    <w:rsid w:val="7AB76752"/>
    <w:rsid w:val="7AC22B97"/>
    <w:rsid w:val="7AF6556E"/>
    <w:rsid w:val="7AFC5458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sz w:val="35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三级条标题"/>
    <w:basedOn w:val="19"/>
    <w:next w:val="17"/>
    <w:qFormat/>
    <w:uiPriority w:val="0"/>
    <w:pPr>
      <w:numPr>
        <w:ilvl w:val="4"/>
        <w:numId w:val="1"/>
      </w:numPr>
      <w:outlineLvl w:val="4"/>
    </w:pPr>
  </w:style>
  <w:style w:type="paragraph" w:customStyle="1" w:styleId="19">
    <w:name w:val="二级条标题"/>
    <w:basedOn w:val="20"/>
    <w:next w:val="17"/>
    <w:qFormat/>
    <w:uiPriority w:val="0"/>
    <w:pPr>
      <w:numPr>
        <w:ilvl w:val="3"/>
        <w:numId w:val="1"/>
      </w:numPr>
      <w:outlineLvl w:val="3"/>
    </w:pPr>
  </w:style>
  <w:style w:type="paragraph" w:customStyle="1" w:styleId="20">
    <w:name w:val="一级条标题"/>
    <w:next w:val="17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styleId="21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2022-10-14T00:49:25Z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361F6B2CBC4E4D1C993ED0C92A49F21D</vt:lpwstr>
  </property>
</Properties>
</file>