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质检部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主管领导：李建国         陪同人员：缪哲芳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张磊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审核时间：202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2.10.12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部门负责人：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李建国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查企业提供的资料见《岗位职责及岗位任职要求》中，规定了公司各个岗位的主要职责和相关要求。生产技术部的主要职责有：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质检管制实施之督导，确保公司质量/环境管理体系正常运行；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负责组织编制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手册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负责组织内部管理体系审核；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协助总经理做好管理评审工作，协助搞好外审工作；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组织识别与评价环境因素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和职业健康安全因素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；对公司目标指标进行测量；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负责公司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管理体系进行定期监督检查；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协助采购部门完成对供应商的评审工作；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负责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环境和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职业健康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安全的控制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目标及完成情况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455" w:type="dxa"/>
            <w:vAlign w:val="top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目标的制定符合部门主要工作流程实际情况，有针对性，可测量。与质量方针保持一致。明确了目标考核的具体方法和频次。</w:t>
            </w:r>
          </w:p>
          <w:p>
            <w:pPr>
              <w:rPr>
                <w:rFonts w:hint="default" w:ascii="楷体" w:hAnsi="楷体" w:eastAsia="楷体" w:cs="宋体"/>
                <w:b w:val="0"/>
                <w:bCs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环境目标：                              考核结果</w:t>
            </w:r>
            <w:r>
              <w:rPr>
                <w:rFonts w:hint="eastAsia" w:ascii="楷体" w:hAnsi="楷体" w:eastAsia="楷体" w:cs="宋体"/>
                <w:b w:val="0"/>
                <w:bCs/>
                <w:lang w:val="en-US" w:eastAsia="zh-CN"/>
              </w:rPr>
              <w:t xml:space="preserve"> </w:t>
            </w:r>
          </w:p>
          <w:p>
            <w:pPr>
              <w:pStyle w:val="13"/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废弃物请回收部门清运及时率100%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100</w:t>
            </w:r>
          </w:p>
          <w:p>
            <w:pPr>
              <w:pStyle w:val="13"/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职业健康安全目标：</w:t>
            </w:r>
          </w:p>
          <w:p>
            <w:pPr>
              <w:pStyle w:val="13"/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职业病发生率为0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              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宋体"/>
                <w:highlight w:val="lightGray"/>
              </w:rPr>
              <w:sym w:font="Wingdings 2" w:char="F098"/>
            </w:r>
            <w:r>
              <w:rPr>
                <w:rFonts w:hint="eastAsia" w:ascii="楷体" w:hAnsi="楷体" w:eastAsia="楷体" w:cs="宋体"/>
              </w:rPr>
              <w:t>目标在各部门进行了分解，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考核时间</w:t>
            </w:r>
            <w:r>
              <w:rPr>
                <w:rFonts w:hint="eastAsia" w:ascii="楷体" w:hAnsi="楷体" w:eastAsia="楷体" w:cs="宋体"/>
              </w:rPr>
              <w:t>202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</w:rPr>
              <w:t>年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1-6</w:t>
            </w:r>
            <w:r>
              <w:rPr>
                <w:rFonts w:hint="eastAsia" w:ascii="楷体" w:hAnsi="楷体" w:eastAsia="楷体" w:cs="宋体"/>
              </w:rPr>
              <w:t>月进行了考核，结果显示本年度目标实现。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组织的环境因素、危险源辨识和职业安全风险评价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EO：6.1.2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组织根据手册第6.1.2条款、《环境因素识别与评价控制程序》要求，由办公室负责指导各部门环境因素的调查、评价、汇总、登记、审定及更新，各部门负责组织实施，办公室负责汇总整理。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看组织《环境因素识别和评价表》，组织在办公区、厂区仓库、车间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日常办公过程中的固废（废纸、废电池、灯管、墨盒）造成的土壤污染、水资源消耗、电能消耗、意外火灾引起的污染大气、检验过程（火灾、废弃丢弃、漏油、电能消耗）等环境因素。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组织按照《环境因素识别与评价控制程序》准则确定了重要环境因素，抽查《重要环境因素清单》内容涉及到的重要环境因素：资源消耗、火灾发生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重要环境因素识别、评价与实际吻合，控制措施基本能够满足控制要求。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6.1.2条款、《危险源辨识与风险评价控制措施控制程序》要求，由办公室负责编制《危险源风险辨识和评价一览表》，指导各职能部门（基层单位）开展危险、有害因素风险识别、评价，负责各职能部门（基层单位）风险评价记录的审查与控制效果有效性验证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查《危险源辨识及风险评价表》，部门：质检部，识别了办公过程中垃圾不理不及时可能导致的疾病传染、人离开未断电源可能导致的的火灾、违规试验可能导致的人身伤害等危险源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组织有建立、更新《不可接受风险清单》。销售部涉及到的不可接受风险内容如下：</w:t>
            </w:r>
          </w:p>
          <w:tbl>
            <w:tblPr>
              <w:tblStyle w:val="10"/>
              <w:tblW w:w="10336" w:type="dxa"/>
              <w:tblInd w:w="0" w:type="dxa"/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"/>
              <w:gridCol w:w="2570"/>
              <w:gridCol w:w="2144"/>
              <w:gridCol w:w="2000"/>
              <w:gridCol w:w="2844"/>
            </w:tblGrid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pacing w:val="-20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pacing w:val="-20"/>
                      <w:szCs w:val="21"/>
                    </w:rPr>
                    <w:t>序号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活动点/工序/部位</w:t>
                  </w:r>
                </w:p>
              </w:tc>
              <w:tc>
                <w:tcPr>
                  <w:tcW w:w="2144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潜在的危险因素</w:t>
                  </w:r>
                </w:p>
              </w:tc>
              <w:tc>
                <w:tcPr>
                  <w:tcW w:w="2000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cap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caps/>
                      <w:szCs w:val="21"/>
                    </w:rPr>
                    <w:t>可能导致的结果</w:t>
                  </w:r>
                </w:p>
              </w:tc>
              <w:tc>
                <w:tcPr>
                  <w:tcW w:w="2844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控制措施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2570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办公场所、车间、仓库等区域的易燃品的堆放</w:t>
                  </w:r>
                </w:p>
              </w:tc>
              <w:tc>
                <w:tcPr>
                  <w:tcW w:w="2144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出现明火引起的火灾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人员伤亡</w:t>
                  </w:r>
                </w:p>
              </w:tc>
              <w:tc>
                <w:tcPr>
                  <w:tcW w:w="2844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应急准备和响应控制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生产和办公用电</w:t>
                  </w:r>
                </w:p>
              </w:tc>
              <w:tc>
                <w:tcPr>
                  <w:tcW w:w="2144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设备损坏，线路老化，电路设置不符合要求</w:t>
                  </w:r>
                </w:p>
              </w:tc>
              <w:tc>
                <w:tcPr>
                  <w:tcW w:w="2000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人员触电，火灾事故等</w:t>
                  </w:r>
                </w:p>
              </w:tc>
              <w:tc>
                <w:tcPr>
                  <w:tcW w:w="2844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规范操作，坚持线路检查，做好应急响应工作</w:t>
                  </w:r>
                </w:p>
              </w:tc>
            </w:tr>
          </w:tbl>
          <w:p>
            <w:pPr>
              <w:rPr>
                <w:rFonts w:hint="eastAsia" w:ascii="楷体" w:hAnsi="楷体" w:eastAsia="楷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职业健康安全风险与危险源辨识清单判定的内容一致，办公室负责人在访谈时介绍，组织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EO8.1</w:t>
            </w:r>
          </w:p>
        </w:tc>
        <w:tc>
          <w:tcPr>
            <w:tcW w:w="10455" w:type="dxa"/>
            <w:vAlign w:val="top"/>
          </w:tcPr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本部门应执行的运行控制文件：《环境影响运行控制程序》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、《风险和机遇的应对控制程序》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《环境因素识别与评价管理程序》、《危险源辨识与风险评价控制措施管理程序》、《职业健康安全运行控制程序》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 xml:space="preserve">1、公司废水有生产废水和生活污水，生产废水经废水处理设施处理至GB8978-1996《污水综合排放标准》中三级标准。 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 xml:space="preserve">2、噪声管控：产品检测过程无噪声产生。 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3、固废管控：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检验过程中主要测试产品的性能、会产生一定的固体废物，交由公司统一处理。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4、能源资源管控：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 xml:space="preserve"> 节水、节电、节原材料，人走关闭设备和照明开关，现场查看未发现有漏水和浪费电能的现象。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5、潜在火灾管控：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公司生产车间和办公区域配备了灭火器，均符合要求。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6、能提供防止员工意外伤害加重的急救药品如创可贴、杀菌药水等。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7、为主要长期员工上社保，查见交款证明。</w:t>
            </w:r>
          </w:p>
          <w:p>
            <w:pPr>
              <w:spacing w:before="120" w:line="320" w:lineRule="exact"/>
              <w:rPr>
                <w:rFonts w:hint="default" w:ascii="楷体" w:hAnsi="楷体" w:eastAsia="楷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8.2</w:t>
            </w:r>
          </w:p>
        </w:tc>
        <w:tc>
          <w:tcPr>
            <w:tcW w:w="10455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详见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办公室审核记录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8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6" o:spid="_x0000_s1026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831126"/>
    <w:rsid w:val="000072F7"/>
    <w:rsid w:val="000151AA"/>
    <w:rsid w:val="00022B65"/>
    <w:rsid w:val="00040267"/>
    <w:rsid w:val="00046455"/>
    <w:rsid w:val="00050D55"/>
    <w:rsid w:val="00050F13"/>
    <w:rsid w:val="0005339C"/>
    <w:rsid w:val="000539EA"/>
    <w:rsid w:val="000542D4"/>
    <w:rsid w:val="00055588"/>
    <w:rsid w:val="000577D3"/>
    <w:rsid w:val="000623B7"/>
    <w:rsid w:val="0006274F"/>
    <w:rsid w:val="000646B5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D1141"/>
    <w:rsid w:val="000D33E5"/>
    <w:rsid w:val="000D34F1"/>
    <w:rsid w:val="000D5C6A"/>
    <w:rsid w:val="000F1007"/>
    <w:rsid w:val="000F385A"/>
    <w:rsid w:val="000F58D0"/>
    <w:rsid w:val="000F5D6D"/>
    <w:rsid w:val="00106F54"/>
    <w:rsid w:val="00111FFF"/>
    <w:rsid w:val="001158A9"/>
    <w:rsid w:val="00143533"/>
    <w:rsid w:val="0014371C"/>
    <w:rsid w:val="00150849"/>
    <w:rsid w:val="00152148"/>
    <w:rsid w:val="001566F3"/>
    <w:rsid w:val="00157FD3"/>
    <w:rsid w:val="00160590"/>
    <w:rsid w:val="0016572C"/>
    <w:rsid w:val="001754F1"/>
    <w:rsid w:val="00175A18"/>
    <w:rsid w:val="00176702"/>
    <w:rsid w:val="0017698F"/>
    <w:rsid w:val="00177FAE"/>
    <w:rsid w:val="001827AE"/>
    <w:rsid w:val="00190E6B"/>
    <w:rsid w:val="00193021"/>
    <w:rsid w:val="001A18AE"/>
    <w:rsid w:val="001A2BA7"/>
    <w:rsid w:val="001B280D"/>
    <w:rsid w:val="001B4BD0"/>
    <w:rsid w:val="001C29CC"/>
    <w:rsid w:val="001C56BD"/>
    <w:rsid w:val="001C6B66"/>
    <w:rsid w:val="001E3922"/>
    <w:rsid w:val="001F3E39"/>
    <w:rsid w:val="00200AB0"/>
    <w:rsid w:val="00204146"/>
    <w:rsid w:val="00204D3D"/>
    <w:rsid w:val="00210A19"/>
    <w:rsid w:val="00213979"/>
    <w:rsid w:val="00214A5E"/>
    <w:rsid w:val="002160D9"/>
    <w:rsid w:val="00220CB0"/>
    <w:rsid w:val="00220E0A"/>
    <w:rsid w:val="00224723"/>
    <w:rsid w:val="00224B05"/>
    <w:rsid w:val="00225667"/>
    <w:rsid w:val="002373BC"/>
    <w:rsid w:val="002403BA"/>
    <w:rsid w:val="00244C3E"/>
    <w:rsid w:val="00253B61"/>
    <w:rsid w:val="002546A9"/>
    <w:rsid w:val="00254DAD"/>
    <w:rsid w:val="0025588C"/>
    <w:rsid w:val="00264BAF"/>
    <w:rsid w:val="00270563"/>
    <w:rsid w:val="002759EA"/>
    <w:rsid w:val="00285222"/>
    <w:rsid w:val="00291F40"/>
    <w:rsid w:val="00294585"/>
    <w:rsid w:val="002A2C14"/>
    <w:rsid w:val="002A3E6F"/>
    <w:rsid w:val="002A3FAE"/>
    <w:rsid w:val="002A7257"/>
    <w:rsid w:val="002B7ACC"/>
    <w:rsid w:val="002C0EC0"/>
    <w:rsid w:val="002D47D9"/>
    <w:rsid w:val="002E04BD"/>
    <w:rsid w:val="002E6316"/>
    <w:rsid w:val="002F22BC"/>
    <w:rsid w:val="002F60EA"/>
    <w:rsid w:val="00311104"/>
    <w:rsid w:val="00316166"/>
    <w:rsid w:val="00331E84"/>
    <w:rsid w:val="00336B92"/>
    <w:rsid w:val="0035099D"/>
    <w:rsid w:val="00350DCD"/>
    <w:rsid w:val="00351050"/>
    <w:rsid w:val="00360395"/>
    <w:rsid w:val="00363ADF"/>
    <w:rsid w:val="00364B12"/>
    <w:rsid w:val="003721DC"/>
    <w:rsid w:val="003811E6"/>
    <w:rsid w:val="003923E8"/>
    <w:rsid w:val="00393E7F"/>
    <w:rsid w:val="00394A42"/>
    <w:rsid w:val="00395583"/>
    <w:rsid w:val="00395D89"/>
    <w:rsid w:val="00396A87"/>
    <w:rsid w:val="003A1710"/>
    <w:rsid w:val="003A7037"/>
    <w:rsid w:val="003B5EB0"/>
    <w:rsid w:val="003B610D"/>
    <w:rsid w:val="003C147B"/>
    <w:rsid w:val="003C213B"/>
    <w:rsid w:val="003C43F5"/>
    <w:rsid w:val="003C67F5"/>
    <w:rsid w:val="003D4E40"/>
    <w:rsid w:val="003D6A1B"/>
    <w:rsid w:val="003F767D"/>
    <w:rsid w:val="004205F5"/>
    <w:rsid w:val="00421E82"/>
    <w:rsid w:val="004347B6"/>
    <w:rsid w:val="00437E21"/>
    <w:rsid w:val="00445245"/>
    <w:rsid w:val="00450E1C"/>
    <w:rsid w:val="00452646"/>
    <w:rsid w:val="004579E9"/>
    <w:rsid w:val="00462996"/>
    <w:rsid w:val="00464E7D"/>
    <w:rsid w:val="00467C4C"/>
    <w:rsid w:val="00472FD4"/>
    <w:rsid w:val="00482454"/>
    <w:rsid w:val="00485729"/>
    <w:rsid w:val="00494F60"/>
    <w:rsid w:val="004A7A04"/>
    <w:rsid w:val="004B2AB1"/>
    <w:rsid w:val="004B5FF0"/>
    <w:rsid w:val="004C2345"/>
    <w:rsid w:val="004C3477"/>
    <w:rsid w:val="004D2B7D"/>
    <w:rsid w:val="004D4390"/>
    <w:rsid w:val="005021D6"/>
    <w:rsid w:val="00506A1D"/>
    <w:rsid w:val="00511B1A"/>
    <w:rsid w:val="00521C69"/>
    <w:rsid w:val="005333AC"/>
    <w:rsid w:val="00543A7A"/>
    <w:rsid w:val="00544BD7"/>
    <w:rsid w:val="0054682B"/>
    <w:rsid w:val="005544C6"/>
    <w:rsid w:val="00580949"/>
    <w:rsid w:val="0058116F"/>
    <w:rsid w:val="005A0B9B"/>
    <w:rsid w:val="005A2B9E"/>
    <w:rsid w:val="005B01A4"/>
    <w:rsid w:val="005B1B5B"/>
    <w:rsid w:val="005B7D33"/>
    <w:rsid w:val="005C1929"/>
    <w:rsid w:val="005C34FF"/>
    <w:rsid w:val="005C7447"/>
    <w:rsid w:val="005D2C21"/>
    <w:rsid w:val="005E4B6B"/>
    <w:rsid w:val="005F05EE"/>
    <w:rsid w:val="005F6369"/>
    <w:rsid w:val="00601CDF"/>
    <w:rsid w:val="0060500C"/>
    <w:rsid w:val="00607309"/>
    <w:rsid w:val="00611B45"/>
    <w:rsid w:val="00617B01"/>
    <w:rsid w:val="006239DA"/>
    <w:rsid w:val="006254FF"/>
    <w:rsid w:val="00630194"/>
    <w:rsid w:val="00633261"/>
    <w:rsid w:val="006402CF"/>
    <w:rsid w:val="006479D3"/>
    <w:rsid w:val="00650B45"/>
    <w:rsid w:val="006515CB"/>
    <w:rsid w:val="00660F15"/>
    <w:rsid w:val="00662750"/>
    <w:rsid w:val="006801C2"/>
    <w:rsid w:val="0068317A"/>
    <w:rsid w:val="00686548"/>
    <w:rsid w:val="006934A2"/>
    <w:rsid w:val="0069645D"/>
    <w:rsid w:val="006A5761"/>
    <w:rsid w:val="006B0601"/>
    <w:rsid w:val="006B200A"/>
    <w:rsid w:val="006B2B77"/>
    <w:rsid w:val="006B6DAD"/>
    <w:rsid w:val="006C2CCB"/>
    <w:rsid w:val="006C409F"/>
    <w:rsid w:val="006D18C5"/>
    <w:rsid w:val="006F59AE"/>
    <w:rsid w:val="006F719C"/>
    <w:rsid w:val="00701817"/>
    <w:rsid w:val="0070619B"/>
    <w:rsid w:val="00713182"/>
    <w:rsid w:val="0073203F"/>
    <w:rsid w:val="00735EBB"/>
    <w:rsid w:val="007370BD"/>
    <w:rsid w:val="00743320"/>
    <w:rsid w:val="00750C77"/>
    <w:rsid w:val="007510E7"/>
    <w:rsid w:val="0075532E"/>
    <w:rsid w:val="007606EC"/>
    <w:rsid w:val="0076103F"/>
    <w:rsid w:val="007637A7"/>
    <w:rsid w:val="00774D0F"/>
    <w:rsid w:val="00781174"/>
    <w:rsid w:val="00784747"/>
    <w:rsid w:val="007860DE"/>
    <w:rsid w:val="00790291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D7991"/>
    <w:rsid w:val="007E593D"/>
    <w:rsid w:val="007E741E"/>
    <w:rsid w:val="007F120D"/>
    <w:rsid w:val="007F3880"/>
    <w:rsid w:val="007F5B21"/>
    <w:rsid w:val="007F614A"/>
    <w:rsid w:val="00813787"/>
    <w:rsid w:val="00814F47"/>
    <w:rsid w:val="008159A7"/>
    <w:rsid w:val="008212AB"/>
    <w:rsid w:val="00827EF3"/>
    <w:rsid w:val="00831126"/>
    <w:rsid w:val="00831560"/>
    <w:rsid w:val="00831A63"/>
    <w:rsid w:val="00850355"/>
    <w:rsid w:val="00854AAA"/>
    <w:rsid w:val="00856118"/>
    <w:rsid w:val="00860B8B"/>
    <w:rsid w:val="00866E22"/>
    <w:rsid w:val="00873021"/>
    <w:rsid w:val="00874BFE"/>
    <w:rsid w:val="0089792D"/>
    <w:rsid w:val="008B10C1"/>
    <w:rsid w:val="008C70FB"/>
    <w:rsid w:val="008E694B"/>
    <w:rsid w:val="008F5082"/>
    <w:rsid w:val="008F5D8C"/>
    <w:rsid w:val="00901F56"/>
    <w:rsid w:val="0090570B"/>
    <w:rsid w:val="00915684"/>
    <w:rsid w:val="00915921"/>
    <w:rsid w:val="009233E4"/>
    <w:rsid w:val="0093363E"/>
    <w:rsid w:val="00935B56"/>
    <w:rsid w:val="009403C1"/>
    <w:rsid w:val="00940E52"/>
    <w:rsid w:val="0094134A"/>
    <w:rsid w:val="0095310F"/>
    <w:rsid w:val="00962B69"/>
    <w:rsid w:val="009655B0"/>
    <w:rsid w:val="00966444"/>
    <w:rsid w:val="00973CE2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D078E"/>
    <w:rsid w:val="009D7121"/>
    <w:rsid w:val="009E2383"/>
    <w:rsid w:val="009F0991"/>
    <w:rsid w:val="009F1B33"/>
    <w:rsid w:val="00A01428"/>
    <w:rsid w:val="00A0356E"/>
    <w:rsid w:val="00A0382C"/>
    <w:rsid w:val="00A051FA"/>
    <w:rsid w:val="00A1672F"/>
    <w:rsid w:val="00A16F64"/>
    <w:rsid w:val="00A25B4D"/>
    <w:rsid w:val="00A26D2A"/>
    <w:rsid w:val="00A30389"/>
    <w:rsid w:val="00A35173"/>
    <w:rsid w:val="00A53C2D"/>
    <w:rsid w:val="00A63994"/>
    <w:rsid w:val="00A70E9E"/>
    <w:rsid w:val="00A718DD"/>
    <w:rsid w:val="00A74ED1"/>
    <w:rsid w:val="00A77773"/>
    <w:rsid w:val="00A84823"/>
    <w:rsid w:val="00AA357E"/>
    <w:rsid w:val="00AA403F"/>
    <w:rsid w:val="00AA5638"/>
    <w:rsid w:val="00AA6995"/>
    <w:rsid w:val="00AB2870"/>
    <w:rsid w:val="00AB6BFD"/>
    <w:rsid w:val="00AC1D37"/>
    <w:rsid w:val="00AC3BD2"/>
    <w:rsid w:val="00AD0A9A"/>
    <w:rsid w:val="00AD234F"/>
    <w:rsid w:val="00AD5EA0"/>
    <w:rsid w:val="00AD73C9"/>
    <w:rsid w:val="00AE5C36"/>
    <w:rsid w:val="00AF401E"/>
    <w:rsid w:val="00B06674"/>
    <w:rsid w:val="00B10AD3"/>
    <w:rsid w:val="00B20057"/>
    <w:rsid w:val="00B30B36"/>
    <w:rsid w:val="00B31198"/>
    <w:rsid w:val="00B40914"/>
    <w:rsid w:val="00B42572"/>
    <w:rsid w:val="00B45D34"/>
    <w:rsid w:val="00B51E7C"/>
    <w:rsid w:val="00B61254"/>
    <w:rsid w:val="00B613B1"/>
    <w:rsid w:val="00B861A7"/>
    <w:rsid w:val="00BA2083"/>
    <w:rsid w:val="00BA2BC2"/>
    <w:rsid w:val="00BA2F33"/>
    <w:rsid w:val="00BA5AC7"/>
    <w:rsid w:val="00BA5EB0"/>
    <w:rsid w:val="00BA733F"/>
    <w:rsid w:val="00BB039F"/>
    <w:rsid w:val="00BB183D"/>
    <w:rsid w:val="00BB27F7"/>
    <w:rsid w:val="00BB28F7"/>
    <w:rsid w:val="00BC1FD0"/>
    <w:rsid w:val="00BD50C1"/>
    <w:rsid w:val="00BF369A"/>
    <w:rsid w:val="00BF57AE"/>
    <w:rsid w:val="00BF755C"/>
    <w:rsid w:val="00C01775"/>
    <w:rsid w:val="00C03293"/>
    <w:rsid w:val="00C037A3"/>
    <w:rsid w:val="00C03D05"/>
    <w:rsid w:val="00C1225B"/>
    <w:rsid w:val="00C31403"/>
    <w:rsid w:val="00C31DEF"/>
    <w:rsid w:val="00C37B44"/>
    <w:rsid w:val="00C438CF"/>
    <w:rsid w:val="00C44E8D"/>
    <w:rsid w:val="00C56EA8"/>
    <w:rsid w:val="00C61E8E"/>
    <w:rsid w:val="00C64066"/>
    <w:rsid w:val="00C65EBD"/>
    <w:rsid w:val="00C73D6D"/>
    <w:rsid w:val="00C77A6B"/>
    <w:rsid w:val="00C802DF"/>
    <w:rsid w:val="00C8733F"/>
    <w:rsid w:val="00C87370"/>
    <w:rsid w:val="00C971A1"/>
    <w:rsid w:val="00CA0C32"/>
    <w:rsid w:val="00CB3272"/>
    <w:rsid w:val="00CB757D"/>
    <w:rsid w:val="00CC2839"/>
    <w:rsid w:val="00CC6495"/>
    <w:rsid w:val="00CC64A5"/>
    <w:rsid w:val="00CD0417"/>
    <w:rsid w:val="00CD0DDA"/>
    <w:rsid w:val="00CD5E51"/>
    <w:rsid w:val="00CE32CB"/>
    <w:rsid w:val="00CF2B2D"/>
    <w:rsid w:val="00CF4FBB"/>
    <w:rsid w:val="00D06E85"/>
    <w:rsid w:val="00D1078C"/>
    <w:rsid w:val="00D27897"/>
    <w:rsid w:val="00D329E1"/>
    <w:rsid w:val="00D33242"/>
    <w:rsid w:val="00D541B2"/>
    <w:rsid w:val="00D56A6F"/>
    <w:rsid w:val="00D60DA9"/>
    <w:rsid w:val="00D638B8"/>
    <w:rsid w:val="00D65BDF"/>
    <w:rsid w:val="00D71F64"/>
    <w:rsid w:val="00D72909"/>
    <w:rsid w:val="00D75A66"/>
    <w:rsid w:val="00D80F8B"/>
    <w:rsid w:val="00D9352F"/>
    <w:rsid w:val="00D9367C"/>
    <w:rsid w:val="00DA6608"/>
    <w:rsid w:val="00DB0243"/>
    <w:rsid w:val="00DB3B32"/>
    <w:rsid w:val="00DB5EDB"/>
    <w:rsid w:val="00DB7A20"/>
    <w:rsid w:val="00DD162A"/>
    <w:rsid w:val="00DD7755"/>
    <w:rsid w:val="00DE16F3"/>
    <w:rsid w:val="00DE1721"/>
    <w:rsid w:val="00DF13FE"/>
    <w:rsid w:val="00E00701"/>
    <w:rsid w:val="00E10945"/>
    <w:rsid w:val="00E11C03"/>
    <w:rsid w:val="00E13B34"/>
    <w:rsid w:val="00E17615"/>
    <w:rsid w:val="00E216B0"/>
    <w:rsid w:val="00E32734"/>
    <w:rsid w:val="00E37EC5"/>
    <w:rsid w:val="00E44492"/>
    <w:rsid w:val="00E544AA"/>
    <w:rsid w:val="00E63BBC"/>
    <w:rsid w:val="00E6469E"/>
    <w:rsid w:val="00E65D1C"/>
    <w:rsid w:val="00E779B7"/>
    <w:rsid w:val="00E82B26"/>
    <w:rsid w:val="00E85B48"/>
    <w:rsid w:val="00E85F75"/>
    <w:rsid w:val="00E97B24"/>
    <w:rsid w:val="00EA2239"/>
    <w:rsid w:val="00EC7B17"/>
    <w:rsid w:val="00ED2441"/>
    <w:rsid w:val="00ED6004"/>
    <w:rsid w:val="00ED6126"/>
    <w:rsid w:val="00EE14B9"/>
    <w:rsid w:val="00EE1B33"/>
    <w:rsid w:val="00EE1B5A"/>
    <w:rsid w:val="00EE1C5B"/>
    <w:rsid w:val="00EF030D"/>
    <w:rsid w:val="00EF783D"/>
    <w:rsid w:val="00F15123"/>
    <w:rsid w:val="00F159BC"/>
    <w:rsid w:val="00F24389"/>
    <w:rsid w:val="00F32CF4"/>
    <w:rsid w:val="00F36448"/>
    <w:rsid w:val="00F37849"/>
    <w:rsid w:val="00F4465A"/>
    <w:rsid w:val="00F464F9"/>
    <w:rsid w:val="00F50D77"/>
    <w:rsid w:val="00F60302"/>
    <w:rsid w:val="00F70B43"/>
    <w:rsid w:val="00F715F4"/>
    <w:rsid w:val="00F72187"/>
    <w:rsid w:val="00F90542"/>
    <w:rsid w:val="00F92741"/>
    <w:rsid w:val="00F9526A"/>
    <w:rsid w:val="00F96DCB"/>
    <w:rsid w:val="00FA2D6E"/>
    <w:rsid w:val="00FA4A64"/>
    <w:rsid w:val="00FB0ECE"/>
    <w:rsid w:val="00FC22A7"/>
    <w:rsid w:val="00FC35BA"/>
    <w:rsid w:val="00FD45D4"/>
    <w:rsid w:val="00FD7FC0"/>
    <w:rsid w:val="00FE1F7D"/>
    <w:rsid w:val="00FE2A72"/>
    <w:rsid w:val="00FE306A"/>
    <w:rsid w:val="00FE552E"/>
    <w:rsid w:val="04C24194"/>
    <w:rsid w:val="0A7424A7"/>
    <w:rsid w:val="0CAB432A"/>
    <w:rsid w:val="0E971172"/>
    <w:rsid w:val="1BA04D48"/>
    <w:rsid w:val="24ED5540"/>
    <w:rsid w:val="31310A0F"/>
    <w:rsid w:val="326978B2"/>
    <w:rsid w:val="39BE20D4"/>
    <w:rsid w:val="3B3118EB"/>
    <w:rsid w:val="465A61B4"/>
    <w:rsid w:val="52D67DB8"/>
    <w:rsid w:val="555F64AB"/>
    <w:rsid w:val="577625B5"/>
    <w:rsid w:val="594D0A09"/>
    <w:rsid w:val="59D25DDD"/>
    <w:rsid w:val="5FA92319"/>
    <w:rsid w:val="61527681"/>
    <w:rsid w:val="65265E04"/>
    <w:rsid w:val="6B4B625C"/>
    <w:rsid w:val="73DB3134"/>
    <w:rsid w:val="78030AF1"/>
    <w:rsid w:val="7D8260E0"/>
    <w:rsid w:val="7E306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 Indent"/>
    <w:basedOn w:val="1"/>
    <w:qFormat/>
    <w:uiPriority w:val="0"/>
    <w:pPr>
      <w:ind w:left="360"/>
    </w:pPr>
    <w:rPr>
      <w:sz w:val="20"/>
    </w:rPr>
  </w:style>
  <w:style w:type="paragraph" w:styleId="6">
    <w:name w:val="Plain Text"/>
    <w:basedOn w:val="1"/>
    <w:link w:val="21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Char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纯文本 Char"/>
    <w:link w:val="6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21">
    <w:name w:val="纯文本 Char1"/>
    <w:basedOn w:val="11"/>
    <w:link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F7116-41D2-47BD-9E3C-7C3E9B427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2680</Words>
  <Characters>2926</Characters>
  <Lines>158</Lines>
  <Paragraphs>44</Paragraphs>
  <TotalTime>2</TotalTime>
  <ScaleCrop>false</ScaleCrop>
  <LinksUpToDate>false</LinksUpToDate>
  <CharactersWithSpaces>3017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2022-10-10T08:23:34Z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B1ABCBE67B7140E092E5A3DA573C1F8D</vt:lpwstr>
  </property>
</Properties>
</file>