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960"/>
        <w:gridCol w:w="1059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受审核部门：</w:t>
            </w:r>
            <w:r>
              <w:rPr>
                <w:rFonts w:hint="eastAsia" w:ascii="楷体" w:hAnsi="楷体" w:eastAsia="楷体"/>
                <w:lang w:val="en-US" w:eastAsia="zh-CN"/>
              </w:rPr>
              <w:t xml:space="preserve">办公室     </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 xml:space="preserve">主管领导：缪哲芳    </w:t>
            </w:r>
            <w:r>
              <w:rPr>
                <w:rFonts w:hint="eastAsia" w:ascii="楷体" w:hAnsi="楷体" w:eastAsia="楷体"/>
                <w:lang w:val="en-US" w:eastAsia="zh-CN"/>
              </w:rPr>
              <w:t xml:space="preserve">      </w:t>
            </w:r>
            <w:r>
              <w:rPr>
                <w:rFonts w:hint="eastAsia" w:ascii="楷体" w:hAnsi="楷体" w:eastAsia="楷体"/>
              </w:rPr>
              <w:t>陪同人员：缪哲芳</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w:t>
            </w:r>
            <w:r>
              <w:rPr>
                <w:rFonts w:hint="eastAsia" w:cs="Times New Roman"/>
                <w:b/>
                <w:kern w:val="2"/>
                <w:sz w:val="21"/>
                <w:szCs w:val="21"/>
                <w:lang w:val="en-US" w:eastAsia="zh-CN" w:bidi="ar-SA"/>
              </w:rPr>
              <w:t>10</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10</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hint="eastAsia" w:ascii="宋体" w:hAnsi="宋体" w:cs="新宋体"/>
                <w:sz w:val="18"/>
                <w:szCs w:val="18"/>
              </w:rPr>
            </w:pPr>
            <w:r>
              <w:rPr>
                <w:rFonts w:hint="eastAsia" w:ascii="楷体" w:hAnsi="楷体" w:eastAsia="楷体"/>
              </w:rPr>
              <w:t>审核条款：</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w:t>
            </w:r>
            <w:r>
              <w:rPr>
                <w:rFonts w:hint="eastAsia" w:ascii="宋体" w:hAnsi="宋体" w:eastAsia="宋体" w:cs="新宋体"/>
                <w:sz w:val="18"/>
                <w:szCs w:val="18"/>
              </w:rPr>
              <w:t>7.2能力；7.3意识；7.5文件化信息</w:t>
            </w:r>
            <w:r>
              <w:rPr>
                <w:rFonts w:hint="eastAsia" w:ascii="宋体" w:hAnsi="宋体" w:eastAsia="宋体" w:cs="新宋体"/>
                <w:sz w:val="18"/>
                <w:szCs w:val="18"/>
                <w:lang w:eastAsia="zh-CN"/>
              </w:rPr>
              <w:t>；</w:t>
            </w:r>
            <w:r>
              <w:rPr>
                <w:rFonts w:hint="eastAsia" w:ascii="宋体" w:hAnsi="宋体" w:cs="新宋体"/>
                <w:sz w:val="18"/>
                <w:szCs w:val="18"/>
              </w:rPr>
              <w:t xml:space="preserve">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宋体" w:hAnsi="宋体" w:cs="新宋体"/>
                <w:sz w:val="18"/>
                <w:szCs w:val="18"/>
              </w:rPr>
              <w:t>5.3组织的角色、职责和权限；5.4员工参与和协商；6.1.3法律法规要求和其他要求；6.1.2危险源辨识和职业安全风险评价； 6.2目标及其实现的策划；</w:t>
            </w:r>
            <w:r>
              <w:rPr>
                <w:rFonts w:hint="eastAsia" w:ascii="宋体" w:hAnsi="宋体" w:eastAsia="宋体" w:cs="新宋体"/>
                <w:sz w:val="18"/>
                <w:szCs w:val="18"/>
              </w:rPr>
              <w:t>7.2能力；7.3意识；7.5文件化信息</w:t>
            </w:r>
            <w:r>
              <w:rPr>
                <w:rFonts w:hint="eastAsia" w:ascii="宋体" w:hAnsi="宋体" w:eastAsia="宋体" w:cs="新宋体"/>
                <w:sz w:val="18"/>
                <w:szCs w:val="18"/>
                <w:lang w:eastAsia="zh-CN"/>
              </w:rPr>
              <w:t>；</w:t>
            </w:r>
            <w:r>
              <w:rPr>
                <w:rFonts w:hint="eastAsia" w:ascii="宋体" w:hAnsi="宋体" w:cs="新宋体"/>
                <w:sz w:val="18"/>
                <w:szCs w:val="18"/>
              </w:rPr>
              <w:t>8.1运行策划和控制；8.2应急准备和响应； 9.1.2法律法规要求和其他要求的合规性评价；9.2内部审核</w:t>
            </w:r>
            <w:r>
              <w:rPr>
                <w:rFonts w:hint="eastAsia" w:ascii="宋体" w:hAnsi="宋体" w:cs="新宋体"/>
                <w:sz w:val="18"/>
                <w:szCs w:val="18"/>
                <w:lang w:eastAsia="zh-CN"/>
              </w:rPr>
              <w:t>；</w:t>
            </w:r>
            <w:r>
              <w:rPr>
                <w:rFonts w:hint="eastAsia" w:ascii="宋体" w:hAnsi="宋体" w:cs="新宋体"/>
                <w:sz w:val="18"/>
                <w:szCs w:val="18"/>
              </w:rPr>
              <w:t>10.2纠正措施；</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ascii="楷体" w:hAnsi="楷体" w:eastAsia="楷体"/>
              </w:rPr>
              <w:t>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办公室</w:t>
            </w:r>
            <w:r>
              <w:rPr>
                <w:rFonts w:hint="eastAsia" w:ascii="楷体" w:hAnsi="楷体" w:eastAsia="楷体"/>
              </w:rPr>
              <w:t>部长：</w:t>
            </w:r>
            <w:r>
              <w:rPr>
                <w:rFonts w:hint="eastAsia" w:ascii="楷体" w:hAnsi="楷体" w:eastAsia="楷体"/>
                <w:lang w:eastAsia="zh-CN"/>
              </w:rPr>
              <w:t>缪哲芳</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办公室</w:t>
            </w:r>
            <w:r>
              <w:rPr>
                <w:rFonts w:hint="eastAsia" w:ascii="楷体" w:hAnsi="楷体" w:eastAsia="楷体"/>
              </w:rPr>
              <w:t>的主要职责有：</w:t>
            </w:r>
          </w:p>
          <w:p>
            <w:pPr>
              <w:rPr>
                <w:rFonts w:hint="eastAsia" w:ascii="楷体" w:hAnsi="楷体" w:eastAsia="楷体"/>
              </w:rPr>
            </w:pPr>
            <w:r>
              <w:rPr>
                <w:rFonts w:hint="eastAsia" w:ascii="楷体" w:hAnsi="楷体" w:eastAsia="楷体"/>
              </w:rPr>
              <w:t>负责公司人力资源</w:t>
            </w:r>
            <w:r>
              <w:rPr>
                <w:rFonts w:hint="eastAsia" w:ascii="楷体" w:hAnsi="楷体" w:eastAsia="楷体"/>
                <w:lang w:val="en-US" w:eastAsia="zh-CN"/>
              </w:rPr>
              <w:t>管理</w:t>
            </w:r>
            <w:r>
              <w:rPr>
                <w:rFonts w:hint="eastAsia" w:ascii="楷体" w:hAnsi="楷体" w:eastAsia="楷体"/>
              </w:rPr>
              <w:t>、岗位体系、绩效体系、培训体系、报酬体系</w:t>
            </w:r>
            <w:r>
              <w:rPr>
                <w:rFonts w:hint="eastAsia" w:ascii="楷体" w:hAnsi="楷体" w:eastAsia="楷体"/>
                <w:lang w:eastAsia="zh-Hans"/>
              </w:rPr>
              <w:t>及外聘人员归口管理</w:t>
            </w:r>
            <w:r>
              <w:rPr>
                <w:rFonts w:hint="eastAsia" w:ascii="楷体" w:hAnsi="楷体" w:eastAsia="楷体"/>
              </w:rPr>
              <w:t>；</w:t>
            </w:r>
          </w:p>
          <w:p>
            <w:pPr>
              <w:rPr>
                <w:rFonts w:hint="eastAsia" w:ascii="楷体" w:hAnsi="楷体" w:eastAsia="楷体"/>
              </w:rPr>
            </w:pPr>
            <w:r>
              <w:rPr>
                <w:rFonts w:hint="eastAsia" w:ascii="楷体" w:hAnsi="楷体" w:eastAsia="楷体"/>
              </w:rPr>
              <w:t>负责抓好公司重要文稿的起草工作，包括半年、年度工作计划和总结报告。根据工作计划和目标责任指标，定期组织检查落实情况，及时向公司领导和其他部门反馈信息；</w:t>
            </w:r>
          </w:p>
          <w:p>
            <w:pPr>
              <w:rPr>
                <w:rFonts w:hint="eastAsia" w:ascii="楷体" w:hAnsi="楷体" w:eastAsia="楷体"/>
              </w:rPr>
            </w:pPr>
            <w:r>
              <w:rPr>
                <w:rFonts w:hint="eastAsia" w:ascii="楷体" w:hAnsi="楷体" w:eastAsia="楷体"/>
              </w:rPr>
              <w:t>负责行使公司日常监督权利，对违法乱纪、违反公司规章制度、泄漏公司机密、盗窃和破坏公司财产的有关人员进行调查和处罚；</w:t>
            </w:r>
          </w:p>
          <w:p>
            <w:pPr>
              <w:rPr>
                <w:rFonts w:hint="eastAsia" w:ascii="楷体" w:hAnsi="楷体" w:eastAsia="楷体"/>
              </w:rPr>
            </w:pPr>
            <w:r>
              <w:rPr>
                <w:rFonts w:hint="eastAsia" w:ascii="楷体" w:hAnsi="楷体" w:eastAsia="楷体"/>
              </w:rPr>
              <w:t>协助总经理处理公司各种突发事件；</w:t>
            </w:r>
          </w:p>
          <w:p>
            <w:pPr>
              <w:rPr>
                <w:rFonts w:hint="eastAsia" w:ascii="楷体" w:hAnsi="楷体" w:eastAsia="楷体"/>
                <w:lang w:val="en-US" w:eastAsia="zh-CN"/>
              </w:rPr>
            </w:pPr>
            <w:r>
              <w:rPr>
                <w:rFonts w:hint="eastAsia" w:ascii="楷体" w:hAnsi="楷体" w:eastAsia="楷体"/>
              </w:rPr>
              <w:t>负责办公</w:t>
            </w:r>
            <w:r>
              <w:rPr>
                <w:rFonts w:hint="eastAsia" w:ascii="楷体" w:hAnsi="楷体" w:eastAsia="楷体"/>
                <w:lang w:val="en-US" w:eastAsia="zh-CN"/>
              </w:rPr>
              <w:t>区域</w:t>
            </w:r>
            <w:r>
              <w:rPr>
                <w:rFonts w:hint="eastAsia" w:ascii="楷体" w:hAnsi="楷体" w:eastAsia="楷体"/>
              </w:rPr>
              <w:t>环境和</w:t>
            </w:r>
            <w:r>
              <w:rPr>
                <w:rFonts w:hint="eastAsia" w:ascii="楷体" w:hAnsi="楷体" w:eastAsia="楷体"/>
                <w:lang w:val="en-US" w:eastAsia="zh-CN"/>
              </w:rPr>
              <w:t>职业健康安全管理和控制等</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缪哲芳</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组织根据手册第6.1.2条款、《环境因素识别与评价控制程序》要求，由办公室负责指导各部门环境因素的调查、评价、汇总、登记、审定及更新，各部门负责组织实施，办公室负责汇总整理。</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查看组织《环境因素识别和评价表》，组织在办公区、厂区仓库、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default"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日常办公过程中的固废（废纸、废电池、灯管、墨盒）造成的土壤污染、水资源消耗、电能消耗、意外火灾引起的污染大气、检验过程（火灾、废弃丢弃、漏油、电能消耗）等环境因素。</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组织按照《环境因素识别与评价控制程序》准则确定了重要环境因素，抽查组织《重要环境因素清单》内容如下：</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342"/>
              <w:gridCol w:w="4033"/>
              <w:gridCol w:w="1566"/>
              <w:gridCol w:w="117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7" w:type="pct"/>
                  <w:noWrap w:val="0"/>
                  <w:vAlign w:val="center"/>
                </w:tcPr>
                <w:p>
                  <w:pPr>
                    <w:rPr>
                      <w:rFonts w:hint="eastAsia" w:ascii="楷体" w:hAnsi="楷体" w:eastAsia="楷体" w:cs="Times New Roman"/>
                    </w:rPr>
                  </w:pPr>
                  <w:r>
                    <w:rPr>
                      <w:rFonts w:hint="eastAsia" w:ascii="楷体" w:hAnsi="楷体" w:eastAsia="楷体" w:cs="Times New Roman"/>
                    </w:rPr>
                    <w:t>序号</w:t>
                  </w:r>
                </w:p>
              </w:tc>
              <w:tc>
                <w:tcPr>
                  <w:tcW w:w="647" w:type="pct"/>
                  <w:noWrap w:val="0"/>
                  <w:vAlign w:val="center"/>
                </w:tcPr>
                <w:p>
                  <w:pPr>
                    <w:rPr>
                      <w:rFonts w:hint="eastAsia" w:ascii="楷体" w:hAnsi="楷体" w:eastAsia="楷体" w:cs="Times New Roman"/>
                    </w:rPr>
                  </w:pPr>
                  <w:r>
                    <w:rPr>
                      <w:rFonts w:hint="eastAsia" w:ascii="楷体" w:hAnsi="楷体" w:eastAsia="楷体" w:cs="Times New Roman"/>
                    </w:rPr>
                    <w:t>环境因素</w:t>
                  </w: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活动点/工序或部位</w:t>
                  </w:r>
                </w:p>
              </w:tc>
              <w:tc>
                <w:tcPr>
                  <w:tcW w:w="755" w:type="pct"/>
                  <w:noWrap w:val="0"/>
                  <w:vAlign w:val="center"/>
                </w:tcPr>
                <w:p>
                  <w:pPr>
                    <w:rPr>
                      <w:rFonts w:hint="eastAsia" w:ascii="楷体" w:hAnsi="楷体" w:eastAsia="楷体" w:cs="Times New Roman"/>
                    </w:rPr>
                  </w:pPr>
                  <w:r>
                    <w:rPr>
                      <w:rFonts w:hint="eastAsia" w:ascii="楷体" w:hAnsi="楷体" w:eastAsia="楷体" w:cs="Times New Roman"/>
                    </w:rPr>
                    <w:t>环境影响</w:t>
                  </w:r>
                </w:p>
              </w:tc>
              <w:tc>
                <w:tcPr>
                  <w:tcW w:w="568" w:type="pct"/>
                  <w:noWrap w:val="0"/>
                  <w:vAlign w:val="center"/>
                </w:tcPr>
                <w:p>
                  <w:pPr>
                    <w:rPr>
                      <w:rFonts w:hint="eastAsia" w:ascii="楷体" w:hAnsi="楷体" w:eastAsia="楷体" w:cs="Times New Roman"/>
                    </w:rPr>
                  </w:pPr>
                  <w:r>
                    <w:rPr>
                      <w:rFonts w:hint="eastAsia" w:ascii="楷体" w:hAnsi="楷体" w:eastAsia="楷体" w:cs="Times New Roman"/>
                    </w:rPr>
                    <w:t>时态/状态</w:t>
                  </w:r>
                </w:p>
              </w:tc>
              <w:tc>
                <w:tcPr>
                  <w:tcW w:w="796" w:type="pct"/>
                  <w:noWrap w:val="0"/>
                  <w:vAlign w:val="center"/>
                </w:tcPr>
                <w:p>
                  <w:pPr>
                    <w:rPr>
                      <w:rFonts w:hint="eastAsia" w:ascii="楷体" w:hAnsi="楷体" w:eastAsia="楷体" w:cs="Times New Roman"/>
                    </w:rPr>
                  </w:pPr>
                  <w:r>
                    <w:rPr>
                      <w:rFonts w:hint="eastAsia" w:ascii="楷体" w:hAnsi="楷体" w:eastAsia="楷体" w:cs="Times New Roma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287" w:type="pct"/>
                  <w:vMerge w:val="restar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1</w:t>
                  </w:r>
                </w:p>
              </w:tc>
              <w:tc>
                <w:tcPr>
                  <w:tcW w:w="647" w:type="pct"/>
                  <w:vMerge w:val="restar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噪声的排放</w:t>
                  </w: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车间生产设备发出的噪声</w:t>
                  </w:r>
                </w:p>
              </w:tc>
              <w:tc>
                <w:tcPr>
                  <w:tcW w:w="755" w:type="pct"/>
                  <w:vMerge w:val="restar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影响人体健康、社区居民休息</w:t>
                  </w:r>
                </w:p>
              </w:tc>
              <w:tc>
                <w:tcPr>
                  <w:tcW w:w="568" w:type="pct"/>
                  <w:vMerge w:val="restar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现在/正常</w:t>
                  </w:r>
                </w:p>
              </w:tc>
              <w:tc>
                <w:tcPr>
                  <w:tcW w:w="796" w:type="pct"/>
                  <w:vMerge w:val="restar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287" w:type="pct"/>
                  <w:vMerge w:val="continue"/>
                  <w:tcBorders>
                    <w:bottom w:val="single" w:color="auto" w:sz="4" w:space="0"/>
                  </w:tcBorders>
                  <w:noWrap w:val="0"/>
                  <w:vAlign w:val="center"/>
                </w:tcPr>
                <w:p>
                  <w:pPr>
                    <w:rPr>
                      <w:rFonts w:hint="eastAsia" w:ascii="楷体" w:hAnsi="楷体" w:eastAsia="楷体" w:cs="Times New Roman"/>
                    </w:rPr>
                  </w:pPr>
                </w:p>
              </w:tc>
              <w:tc>
                <w:tcPr>
                  <w:tcW w:w="647" w:type="pct"/>
                  <w:vMerge w:val="continue"/>
                  <w:tcBorders>
                    <w:bottom w:val="single" w:color="auto" w:sz="4" w:space="0"/>
                  </w:tcBorders>
                  <w:noWrap w:val="0"/>
                  <w:vAlign w:val="center"/>
                </w:tcPr>
                <w:p>
                  <w:pPr>
                    <w:rPr>
                      <w:rFonts w:hint="eastAsia" w:ascii="楷体" w:hAnsi="楷体" w:eastAsia="楷体" w:cs="Times New Roman"/>
                    </w:rPr>
                  </w:pP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场内的运输车、工具车等车辆运输作业时的噪声</w:t>
                  </w:r>
                </w:p>
              </w:tc>
              <w:tc>
                <w:tcPr>
                  <w:tcW w:w="755" w:type="pct"/>
                  <w:vMerge w:val="continue"/>
                  <w:tcBorders>
                    <w:bottom w:val="single" w:color="auto" w:sz="4" w:space="0"/>
                  </w:tcBorders>
                  <w:noWrap w:val="0"/>
                  <w:vAlign w:val="center"/>
                </w:tcPr>
                <w:p>
                  <w:pPr>
                    <w:rPr>
                      <w:rFonts w:hint="eastAsia" w:ascii="楷体" w:hAnsi="楷体" w:eastAsia="楷体" w:cs="Times New Roman"/>
                    </w:rPr>
                  </w:pPr>
                </w:p>
              </w:tc>
              <w:tc>
                <w:tcPr>
                  <w:tcW w:w="568" w:type="pct"/>
                  <w:vMerge w:val="continue"/>
                  <w:tcBorders>
                    <w:bottom w:val="single" w:color="auto" w:sz="4" w:space="0"/>
                  </w:tcBorders>
                  <w:noWrap w:val="0"/>
                  <w:vAlign w:val="center"/>
                </w:tcPr>
                <w:p>
                  <w:pPr>
                    <w:rPr>
                      <w:rFonts w:hint="eastAsia" w:ascii="楷体" w:hAnsi="楷体" w:eastAsia="楷体" w:cs="Times New Roman"/>
                    </w:rPr>
                  </w:pPr>
                </w:p>
              </w:tc>
              <w:tc>
                <w:tcPr>
                  <w:tcW w:w="796" w:type="pct"/>
                  <w:vMerge w:val="continue"/>
                  <w:tcBorders>
                    <w:bottom w:val="single" w:color="auto" w:sz="4" w:space="0"/>
                  </w:tcBorders>
                  <w:noWrap w:val="0"/>
                  <w:vAlign w:val="center"/>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287" w:type="pct"/>
                  <w:vMerge w:val="restart"/>
                  <w:noWrap w:val="0"/>
                  <w:vAlign w:val="center"/>
                </w:tcPr>
                <w:p>
                  <w:pPr>
                    <w:rPr>
                      <w:rFonts w:hint="eastAsia" w:ascii="楷体" w:hAnsi="楷体" w:eastAsia="楷体" w:cs="Times New Roman"/>
                    </w:rPr>
                  </w:pPr>
                  <w:r>
                    <w:rPr>
                      <w:rFonts w:hint="eastAsia" w:ascii="楷体" w:hAnsi="楷体" w:eastAsia="楷体" w:cs="Times New Roman"/>
                    </w:rPr>
                    <w:t>2</w:t>
                  </w:r>
                </w:p>
              </w:tc>
              <w:tc>
                <w:tcPr>
                  <w:tcW w:w="647" w:type="pct"/>
                  <w:vMerge w:val="restart"/>
                  <w:noWrap w:val="0"/>
                  <w:vAlign w:val="center"/>
                </w:tcPr>
                <w:p>
                  <w:pPr>
                    <w:rPr>
                      <w:rFonts w:hint="eastAsia" w:ascii="楷体" w:hAnsi="楷体" w:eastAsia="楷体" w:cs="Times New Roman"/>
                    </w:rPr>
                  </w:pPr>
                  <w:r>
                    <w:rPr>
                      <w:rFonts w:hint="eastAsia" w:ascii="楷体" w:hAnsi="楷体" w:eastAsia="楷体" w:cs="Times New Roman"/>
                    </w:rPr>
                    <w:t>废水的排放</w:t>
                  </w: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车间清洗和拖地废水的排放</w:t>
                  </w:r>
                </w:p>
              </w:tc>
              <w:tc>
                <w:tcPr>
                  <w:tcW w:w="755" w:type="pct"/>
                  <w:vMerge w:val="restart"/>
                  <w:noWrap w:val="0"/>
                  <w:vAlign w:val="center"/>
                </w:tcPr>
                <w:p>
                  <w:pPr>
                    <w:rPr>
                      <w:rFonts w:hint="eastAsia" w:ascii="楷体" w:hAnsi="楷体" w:eastAsia="楷体" w:cs="Times New Roman"/>
                    </w:rPr>
                  </w:pPr>
                  <w:r>
                    <w:rPr>
                      <w:rFonts w:hint="eastAsia" w:ascii="楷体" w:hAnsi="楷体" w:eastAsia="楷体" w:cs="Times New Roman"/>
                    </w:rPr>
                    <w:t>水体污染</w:t>
                  </w:r>
                </w:p>
              </w:tc>
              <w:tc>
                <w:tcPr>
                  <w:tcW w:w="568" w:type="pct"/>
                  <w:vMerge w:val="restart"/>
                  <w:noWrap w:val="0"/>
                  <w:vAlign w:val="center"/>
                </w:tcPr>
                <w:p>
                  <w:pPr>
                    <w:rPr>
                      <w:rFonts w:hint="eastAsia" w:ascii="楷体" w:hAnsi="楷体" w:eastAsia="楷体" w:cs="Times New Roman"/>
                    </w:rPr>
                  </w:pPr>
                  <w:r>
                    <w:rPr>
                      <w:rFonts w:hint="eastAsia" w:ascii="楷体" w:hAnsi="楷体" w:eastAsia="楷体" w:cs="Times New Roman"/>
                    </w:rPr>
                    <w:t>现在/正常</w:t>
                  </w:r>
                </w:p>
              </w:tc>
              <w:tc>
                <w:tcPr>
                  <w:tcW w:w="796" w:type="pct"/>
                  <w:vMerge w:val="restart"/>
                  <w:noWrap w:val="0"/>
                  <w:vAlign w:val="center"/>
                </w:tcPr>
                <w:p>
                  <w:pPr>
                    <w:rPr>
                      <w:rFonts w:hint="eastAsia" w:ascii="楷体" w:hAnsi="楷体" w:eastAsia="楷体" w:cs="Times New Roman"/>
                    </w:rPr>
                  </w:pPr>
                  <w:r>
                    <w:rPr>
                      <w:rFonts w:hint="eastAsia" w:ascii="楷体" w:hAnsi="楷体" w:eastAsia="楷体" w:cs="Times New Roma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87" w:type="pct"/>
                  <w:vMerge w:val="continue"/>
                  <w:noWrap w:val="0"/>
                  <w:vAlign w:val="center"/>
                </w:tcPr>
                <w:p>
                  <w:pPr>
                    <w:rPr>
                      <w:rFonts w:hint="eastAsia" w:ascii="楷体" w:hAnsi="楷体" w:eastAsia="楷体" w:cs="Times New Roman"/>
                    </w:rPr>
                  </w:pPr>
                </w:p>
              </w:tc>
              <w:tc>
                <w:tcPr>
                  <w:tcW w:w="647" w:type="pct"/>
                  <w:vMerge w:val="continue"/>
                  <w:noWrap w:val="0"/>
                  <w:vAlign w:val="center"/>
                </w:tcPr>
                <w:p>
                  <w:pPr>
                    <w:rPr>
                      <w:rFonts w:hint="eastAsia" w:ascii="楷体" w:hAnsi="楷体" w:eastAsia="楷体" w:cs="Times New Roman"/>
                    </w:rPr>
                  </w:pP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生活废水的排放</w:t>
                  </w:r>
                </w:p>
              </w:tc>
              <w:tc>
                <w:tcPr>
                  <w:tcW w:w="755" w:type="pct"/>
                  <w:vMerge w:val="continue"/>
                  <w:noWrap w:val="0"/>
                  <w:vAlign w:val="top"/>
                </w:tcPr>
                <w:p>
                  <w:pPr>
                    <w:rPr>
                      <w:rFonts w:hint="eastAsia" w:ascii="楷体" w:hAnsi="楷体" w:eastAsia="楷体" w:cs="Times New Roman"/>
                    </w:rPr>
                  </w:pPr>
                </w:p>
              </w:tc>
              <w:tc>
                <w:tcPr>
                  <w:tcW w:w="568" w:type="pct"/>
                  <w:vMerge w:val="continue"/>
                  <w:noWrap w:val="0"/>
                  <w:vAlign w:val="top"/>
                </w:tcPr>
                <w:p>
                  <w:pPr>
                    <w:rPr>
                      <w:rFonts w:hint="eastAsia" w:ascii="楷体" w:hAnsi="楷体" w:eastAsia="楷体" w:cs="Times New Roman"/>
                    </w:rPr>
                  </w:pPr>
                </w:p>
              </w:tc>
              <w:tc>
                <w:tcPr>
                  <w:tcW w:w="796" w:type="pct"/>
                  <w:vMerge w:val="continue"/>
                  <w:noWrap w:val="0"/>
                  <w:vAlign w:val="top"/>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87" w:type="pct"/>
                  <w:vMerge w:val="restart"/>
                  <w:noWrap w:val="0"/>
                  <w:vAlign w:val="center"/>
                </w:tcPr>
                <w:p>
                  <w:pPr>
                    <w:rPr>
                      <w:rFonts w:hint="eastAsia" w:ascii="楷体" w:hAnsi="楷体" w:eastAsia="楷体" w:cs="Times New Roman"/>
                    </w:rPr>
                  </w:pPr>
                  <w:r>
                    <w:rPr>
                      <w:rFonts w:hint="eastAsia" w:ascii="楷体" w:hAnsi="楷体" w:eastAsia="楷体" w:cs="Times New Roman"/>
                    </w:rPr>
                    <w:t>3</w:t>
                  </w:r>
                </w:p>
              </w:tc>
              <w:tc>
                <w:tcPr>
                  <w:tcW w:w="647" w:type="pct"/>
                  <w:vMerge w:val="restart"/>
                  <w:noWrap w:val="0"/>
                  <w:vAlign w:val="center"/>
                </w:tcPr>
                <w:p>
                  <w:pPr>
                    <w:rPr>
                      <w:rFonts w:hint="eastAsia" w:ascii="楷体" w:hAnsi="楷体" w:eastAsia="楷体" w:cs="Times New Roman"/>
                    </w:rPr>
                  </w:pPr>
                  <w:r>
                    <w:rPr>
                      <w:rFonts w:hint="eastAsia" w:ascii="楷体" w:hAnsi="楷体" w:eastAsia="楷体" w:cs="Times New Roman"/>
                    </w:rPr>
                    <w:t>废气的排放</w:t>
                  </w: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油漆、油烟废气的排放</w:t>
                  </w:r>
                </w:p>
              </w:tc>
              <w:tc>
                <w:tcPr>
                  <w:tcW w:w="755" w:type="pct"/>
                  <w:vMerge w:val="restart"/>
                  <w:noWrap w:val="0"/>
                  <w:vAlign w:val="center"/>
                </w:tcPr>
                <w:p>
                  <w:pPr>
                    <w:rPr>
                      <w:rFonts w:hint="eastAsia" w:ascii="楷体" w:hAnsi="楷体" w:eastAsia="楷体" w:cs="Times New Roman"/>
                    </w:rPr>
                  </w:pPr>
                  <w:r>
                    <w:rPr>
                      <w:rFonts w:hint="eastAsia" w:ascii="楷体" w:hAnsi="楷体" w:eastAsia="楷体" w:cs="Times New Roman"/>
                    </w:rPr>
                    <w:t>大气污染</w:t>
                  </w:r>
                </w:p>
              </w:tc>
              <w:tc>
                <w:tcPr>
                  <w:tcW w:w="568" w:type="pct"/>
                  <w:vMerge w:val="restart"/>
                  <w:noWrap w:val="0"/>
                  <w:vAlign w:val="center"/>
                </w:tcPr>
                <w:p>
                  <w:pPr>
                    <w:rPr>
                      <w:rFonts w:hint="eastAsia" w:ascii="楷体" w:hAnsi="楷体" w:eastAsia="楷体" w:cs="Times New Roman"/>
                    </w:rPr>
                  </w:pPr>
                  <w:r>
                    <w:rPr>
                      <w:rFonts w:hint="eastAsia" w:ascii="楷体" w:hAnsi="楷体" w:eastAsia="楷体" w:cs="Times New Roman"/>
                    </w:rPr>
                    <w:t>现在/正常</w:t>
                  </w:r>
                </w:p>
              </w:tc>
              <w:tc>
                <w:tcPr>
                  <w:tcW w:w="796" w:type="pct"/>
                  <w:vMerge w:val="restart"/>
                  <w:noWrap w:val="0"/>
                  <w:vAlign w:val="center"/>
                </w:tcPr>
                <w:p>
                  <w:pPr>
                    <w:rPr>
                      <w:rFonts w:hint="eastAsia" w:ascii="楷体" w:hAnsi="楷体" w:eastAsia="楷体" w:cs="Times New Roman"/>
                    </w:rPr>
                  </w:pPr>
                  <w:r>
                    <w:rPr>
                      <w:rFonts w:hint="eastAsia" w:ascii="楷体" w:hAnsi="楷体" w:eastAsia="楷体" w:cs="Times New Roman"/>
                    </w:rPr>
                    <w:t>管理方案/环境影响运行控制控制程序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87" w:type="pct"/>
                  <w:vMerge w:val="continue"/>
                  <w:noWrap w:val="0"/>
                  <w:vAlign w:val="center"/>
                </w:tcPr>
                <w:p>
                  <w:pPr>
                    <w:rPr>
                      <w:rFonts w:hint="eastAsia" w:ascii="楷体" w:hAnsi="楷体" w:eastAsia="楷体" w:cs="Times New Roman"/>
                    </w:rPr>
                  </w:pPr>
                </w:p>
              </w:tc>
              <w:tc>
                <w:tcPr>
                  <w:tcW w:w="647" w:type="pct"/>
                  <w:vMerge w:val="continue"/>
                  <w:noWrap w:val="0"/>
                  <w:vAlign w:val="center"/>
                </w:tcPr>
                <w:p>
                  <w:pPr>
                    <w:rPr>
                      <w:rFonts w:hint="eastAsia" w:ascii="楷体" w:hAnsi="楷体" w:eastAsia="楷体" w:cs="Times New Roman"/>
                    </w:rPr>
                  </w:pP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抛丸粉尘、焊接烟气的排放</w:t>
                  </w:r>
                </w:p>
              </w:tc>
              <w:tc>
                <w:tcPr>
                  <w:tcW w:w="755" w:type="pct"/>
                  <w:vMerge w:val="continue"/>
                  <w:noWrap w:val="0"/>
                  <w:vAlign w:val="top"/>
                </w:tcPr>
                <w:p>
                  <w:pPr>
                    <w:rPr>
                      <w:rFonts w:hint="eastAsia" w:ascii="楷体" w:hAnsi="楷体" w:eastAsia="楷体" w:cs="Times New Roman"/>
                    </w:rPr>
                  </w:pPr>
                </w:p>
              </w:tc>
              <w:tc>
                <w:tcPr>
                  <w:tcW w:w="568" w:type="pct"/>
                  <w:vMerge w:val="continue"/>
                  <w:noWrap w:val="0"/>
                  <w:vAlign w:val="top"/>
                </w:tcPr>
                <w:p>
                  <w:pPr>
                    <w:rPr>
                      <w:rFonts w:hint="eastAsia" w:ascii="楷体" w:hAnsi="楷体" w:eastAsia="楷体" w:cs="Times New Roman"/>
                    </w:rPr>
                  </w:pPr>
                </w:p>
              </w:tc>
              <w:tc>
                <w:tcPr>
                  <w:tcW w:w="796" w:type="pct"/>
                  <w:vMerge w:val="continue"/>
                  <w:noWrap w:val="0"/>
                  <w:vAlign w:val="top"/>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87" w:type="pct"/>
                  <w:vMerge w:val="restart"/>
                  <w:noWrap w:val="0"/>
                  <w:vAlign w:val="center"/>
                </w:tcPr>
                <w:p>
                  <w:pPr>
                    <w:rPr>
                      <w:rFonts w:hint="eastAsia" w:ascii="楷体" w:hAnsi="楷体" w:eastAsia="楷体" w:cs="Times New Roman"/>
                    </w:rPr>
                  </w:pPr>
                  <w:r>
                    <w:rPr>
                      <w:rFonts w:hint="eastAsia" w:ascii="楷体" w:hAnsi="楷体" w:eastAsia="楷体" w:cs="Times New Roman"/>
                    </w:rPr>
                    <w:t>4</w:t>
                  </w:r>
                </w:p>
              </w:tc>
              <w:tc>
                <w:tcPr>
                  <w:tcW w:w="647" w:type="pct"/>
                  <w:vMerge w:val="restart"/>
                  <w:noWrap w:val="0"/>
                  <w:vAlign w:val="center"/>
                </w:tcPr>
                <w:p>
                  <w:pPr>
                    <w:rPr>
                      <w:rFonts w:hint="eastAsia" w:ascii="楷体" w:hAnsi="楷体" w:eastAsia="楷体" w:cs="Times New Roman"/>
                    </w:rPr>
                  </w:pPr>
                  <w:r>
                    <w:rPr>
                      <w:rFonts w:hint="eastAsia" w:ascii="楷体" w:hAnsi="楷体" w:eastAsia="楷体" w:cs="Times New Roman"/>
                    </w:rPr>
                    <w:t>资源的消耗</w:t>
                  </w: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生产用电、水等的消耗</w:t>
                  </w:r>
                </w:p>
              </w:tc>
              <w:tc>
                <w:tcPr>
                  <w:tcW w:w="755" w:type="pct"/>
                  <w:vMerge w:val="restart"/>
                  <w:noWrap w:val="0"/>
                  <w:vAlign w:val="top"/>
                </w:tcPr>
                <w:p>
                  <w:pPr>
                    <w:rPr>
                      <w:rFonts w:hint="eastAsia" w:ascii="楷体" w:hAnsi="楷体" w:eastAsia="楷体" w:cs="Times New Roman"/>
                    </w:rPr>
                  </w:pPr>
                  <w:r>
                    <w:rPr>
                      <w:rFonts w:hint="eastAsia" w:ascii="楷体" w:hAnsi="楷体" w:eastAsia="楷体" w:cs="Times New Roman"/>
                    </w:rPr>
                    <w:t>资源消耗</w:t>
                  </w:r>
                </w:p>
              </w:tc>
              <w:tc>
                <w:tcPr>
                  <w:tcW w:w="568" w:type="pct"/>
                  <w:vMerge w:val="restart"/>
                  <w:noWrap w:val="0"/>
                  <w:vAlign w:val="top"/>
                </w:tcPr>
                <w:p>
                  <w:pPr>
                    <w:rPr>
                      <w:rFonts w:hint="eastAsia" w:ascii="楷体" w:hAnsi="楷体" w:eastAsia="楷体" w:cs="Times New Roman"/>
                    </w:rPr>
                  </w:pPr>
                  <w:r>
                    <w:rPr>
                      <w:rFonts w:hint="eastAsia" w:ascii="楷体" w:hAnsi="楷体" w:eastAsia="楷体" w:cs="Times New Roman"/>
                    </w:rPr>
                    <w:t>现在/正常</w:t>
                  </w:r>
                </w:p>
              </w:tc>
              <w:tc>
                <w:tcPr>
                  <w:tcW w:w="796" w:type="pct"/>
                  <w:vMerge w:val="restart"/>
                  <w:noWrap w:val="0"/>
                  <w:vAlign w:val="top"/>
                </w:tcPr>
                <w:p>
                  <w:pPr>
                    <w:rPr>
                      <w:rFonts w:hint="eastAsia" w:ascii="楷体" w:hAnsi="楷体" w:eastAsia="楷体" w:cs="Times New Roman"/>
                    </w:rPr>
                  </w:pPr>
                  <w:r>
                    <w:rPr>
                      <w:rFonts w:hint="eastAsia" w:ascii="楷体" w:hAnsi="楷体" w:eastAsia="楷体" w:cs="Times New Roman"/>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87" w:type="pct"/>
                  <w:vMerge w:val="continue"/>
                  <w:noWrap w:val="0"/>
                  <w:vAlign w:val="center"/>
                </w:tcPr>
                <w:p>
                  <w:pPr>
                    <w:rPr>
                      <w:rFonts w:hint="eastAsia" w:ascii="楷体" w:hAnsi="楷体" w:eastAsia="楷体" w:cs="Times New Roman"/>
                    </w:rPr>
                  </w:pPr>
                </w:p>
              </w:tc>
              <w:tc>
                <w:tcPr>
                  <w:tcW w:w="647" w:type="pct"/>
                  <w:vMerge w:val="continue"/>
                  <w:noWrap w:val="0"/>
                  <w:vAlign w:val="center"/>
                </w:tcPr>
                <w:p>
                  <w:pPr>
                    <w:rPr>
                      <w:rFonts w:hint="eastAsia" w:ascii="楷体" w:hAnsi="楷体" w:eastAsia="楷体" w:cs="Times New Roman"/>
                    </w:rPr>
                  </w:pP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办公用电、办公用品等的消耗</w:t>
                  </w:r>
                </w:p>
              </w:tc>
              <w:tc>
                <w:tcPr>
                  <w:tcW w:w="755" w:type="pct"/>
                  <w:vMerge w:val="continue"/>
                  <w:noWrap w:val="0"/>
                  <w:vAlign w:val="top"/>
                </w:tcPr>
                <w:p>
                  <w:pPr>
                    <w:rPr>
                      <w:rFonts w:hint="eastAsia" w:ascii="楷体" w:hAnsi="楷体" w:eastAsia="楷体" w:cs="Times New Roman"/>
                    </w:rPr>
                  </w:pPr>
                </w:p>
              </w:tc>
              <w:tc>
                <w:tcPr>
                  <w:tcW w:w="568" w:type="pct"/>
                  <w:vMerge w:val="continue"/>
                  <w:noWrap w:val="0"/>
                  <w:vAlign w:val="top"/>
                </w:tcPr>
                <w:p>
                  <w:pPr>
                    <w:rPr>
                      <w:rFonts w:hint="eastAsia" w:ascii="楷体" w:hAnsi="楷体" w:eastAsia="楷体" w:cs="Times New Roman"/>
                    </w:rPr>
                  </w:pPr>
                </w:p>
              </w:tc>
              <w:tc>
                <w:tcPr>
                  <w:tcW w:w="796" w:type="pct"/>
                  <w:vMerge w:val="continue"/>
                  <w:noWrap w:val="0"/>
                  <w:vAlign w:val="top"/>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287" w:type="pct"/>
                  <w:vMerge w:val="restart"/>
                  <w:noWrap w:val="0"/>
                  <w:vAlign w:val="center"/>
                </w:tcPr>
                <w:p>
                  <w:pPr>
                    <w:rPr>
                      <w:rFonts w:hint="eastAsia" w:ascii="楷体" w:hAnsi="楷体" w:eastAsia="楷体" w:cs="Times New Roman"/>
                      <w:lang w:eastAsia="zh-CN"/>
                    </w:rPr>
                  </w:pPr>
                  <w:r>
                    <w:rPr>
                      <w:rFonts w:hint="eastAsia" w:ascii="楷体" w:hAnsi="楷体" w:eastAsia="楷体" w:cs="Times New Roman"/>
                      <w:lang w:val="en-US" w:eastAsia="zh-CN"/>
                    </w:rPr>
                    <w:t>5</w:t>
                  </w:r>
                </w:p>
              </w:tc>
              <w:tc>
                <w:tcPr>
                  <w:tcW w:w="647" w:type="pct"/>
                  <w:vMerge w:val="restart"/>
                  <w:noWrap w:val="0"/>
                  <w:vAlign w:val="center"/>
                </w:tcPr>
                <w:p>
                  <w:pPr>
                    <w:rPr>
                      <w:rFonts w:hint="eastAsia" w:ascii="楷体" w:hAnsi="楷体" w:eastAsia="楷体" w:cs="Times New Roman"/>
                    </w:rPr>
                  </w:pPr>
                  <w:r>
                    <w:rPr>
                      <w:rFonts w:hint="eastAsia" w:ascii="楷体" w:hAnsi="楷体" w:eastAsia="楷体" w:cs="Times New Roman"/>
                    </w:rPr>
                    <w:t>潜在火灾事故的发生</w:t>
                  </w:r>
                </w:p>
              </w:tc>
              <w:tc>
                <w:tcPr>
                  <w:tcW w:w="1944" w:type="pct"/>
                  <w:noWrap w:val="0"/>
                  <w:vAlign w:val="center"/>
                </w:tcPr>
                <w:p>
                  <w:pPr>
                    <w:rPr>
                      <w:rFonts w:hint="eastAsia" w:ascii="楷体" w:hAnsi="楷体" w:eastAsia="楷体" w:cs="Times New Roman"/>
                    </w:rPr>
                  </w:pPr>
                  <w:r>
                    <w:rPr>
                      <w:rFonts w:hint="eastAsia" w:ascii="楷体" w:hAnsi="楷体" w:eastAsia="楷体" w:cs="Times New Roman"/>
                    </w:rPr>
                    <w:t>办公室的易燃物品管理不慎，吸烟等明火引发的火灾</w:t>
                  </w:r>
                </w:p>
              </w:tc>
              <w:tc>
                <w:tcPr>
                  <w:tcW w:w="755" w:type="pct"/>
                  <w:vMerge w:val="restart"/>
                  <w:noWrap w:val="0"/>
                  <w:vAlign w:val="center"/>
                </w:tcPr>
                <w:p>
                  <w:pPr>
                    <w:rPr>
                      <w:rFonts w:hint="eastAsia" w:ascii="楷体" w:hAnsi="楷体" w:eastAsia="楷体" w:cs="Times New Roman"/>
                    </w:rPr>
                  </w:pPr>
                  <w:r>
                    <w:rPr>
                      <w:rFonts w:hint="eastAsia" w:ascii="楷体" w:hAnsi="楷体" w:eastAsia="楷体" w:cs="Times New Roman"/>
                    </w:rPr>
                    <w:t>大气、水体等综合性污染</w:t>
                  </w:r>
                </w:p>
              </w:tc>
              <w:tc>
                <w:tcPr>
                  <w:tcW w:w="568" w:type="pct"/>
                  <w:vMerge w:val="restart"/>
                  <w:noWrap w:val="0"/>
                  <w:vAlign w:val="center"/>
                </w:tcPr>
                <w:p>
                  <w:pPr>
                    <w:rPr>
                      <w:rFonts w:hint="eastAsia" w:ascii="楷体" w:hAnsi="楷体" w:eastAsia="楷体" w:cs="Times New Roman"/>
                    </w:rPr>
                  </w:pPr>
                  <w:r>
                    <w:rPr>
                      <w:rFonts w:hint="eastAsia" w:ascii="楷体" w:hAnsi="楷体" w:eastAsia="楷体" w:cs="Times New Roman"/>
                    </w:rPr>
                    <w:t>将来/紧急</w:t>
                  </w:r>
                </w:p>
              </w:tc>
              <w:tc>
                <w:tcPr>
                  <w:tcW w:w="796" w:type="pct"/>
                  <w:vMerge w:val="restart"/>
                  <w:noWrap w:val="0"/>
                  <w:vAlign w:val="center"/>
                </w:tcPr>
                <w:p>
                  <w:pPr>
                    <w:rPr>
                      <w:rFonts w:hint="eastAsia" w:ascii="楷体" w:hAnsi="楷体" w:eastAsia="楷体" w:cs="Times New Roman"/>
                    </w:rPr>
                  </w:pPr>
                  <w:r>
                    <w:rPr>
                      <w:rFonts w:hint="eastAsia" w:ascii="楷体" w:hAnsi="楷体" w:eastAsia="楷体" w:cs="Times New Roman"/>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287" w:type="pct"/>
                  <w:vMerge w:val="continue"/>
                  <w:noWrap w:val="0"/>
                  <w:vAlign w:val="center"/>
                </w:tcPr>
                <w:p>
                  <w:pPr>
                    <w:rPr>
                      <w:rFonts w:hint="eastAsia" w:ascii="楷体" w:hAnsi="楷体" w:eastAsia="楷体" w:cs="Times New Roman"/>
                    </w:rPr>
                  </w:pPr>
                </w:p>
              </w:tc>
              <w:tc>
                <w:tcPr>
                  <w:tcW w:w="647" w:type="pct"/>
                  <w:vMerge w:val="continue"/>
                  <w:noWrap w:val="0"/>
                  <w:vAlign w:val="center"/>
                </w:tcPr>
                <w:p>
                  <w:pPr>
                    <w:rPr>
                      <w:rFonts w:hint="eastAsia" w:ascii="楷体" w:hAnsi="楷体" w:eastAsia="楷体" w:cs="Times New Roman"/>
                    </w:rPr>
                  </w:pPr>
                </w:p>
              </w:tc>
              <w:tc>
                <w:tcPr>
                  <w:tcW w:w="1944" w:type="pc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车间和仓库包装材料等易燃品管理不慎引发的火灾</w:t>
                  </w:r>
                </w:p>
              </w:tc>
              <w:tc>
                <w:tcPr>
                  <w:tcW w:w="755" w:type="pct"/>
                  <w:vMerge w:val="continue"/>
                  <w:noWrap w:val="0"/>
                  <w:vAlign w:val="top"/>
                </w:tcPr>
                <w:p>
                  <w:pPr>
                    <w:rPr>
                      <w:rFonts w:hint="eastAsia" w:ascii="楷体" w:hAnsi="楷体" w:eastAsia="楷体" w:cs="Times New Roman"/>
                    </w:rPr>
                  </w:pPr>
                </w:p>
              </w:tc>
              <w:tc>
                <w:tcPr>
                  <w:tcW w:w="568" w:type="pct"/>
                  <w:vMerge w:val="continue"/>
                  <w:noWrap w:val="0"/>
                  <w:vAlign w:val="top"/>
                </w:tcPr>
                <w:p>
                  <w:pPr>
                    <w:rPr>
                      <w:rFonts w:hint="eastAsia" w:ascii="楷体" w:hAnsi="楷体" w:eastAsia="楷体" w:cs="Times New Roman"/>
                    </w:rPr>
                  </w:pPr>
                </w:p>
              </w:tc>
              <w:tc>
                <w:tcPr>
                  <w:tcW w:w="796" w:type="pct"/>
                  <w:vMerge w:val="continue"/>
                  <w:noWrap w:val="0"/>
                  <w:vAlign w:val="top"/>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287" w:type="pct"/>
                  <w:vMerge w:val="continue"/>
                  <w:noWrap w:val="0"/>
                  <w:vAlign w:val="center"/>
                </w:tcPr>
                <w:p>
                  <w:pPr>
                    <w:rPr>
                      <w:rFonts w:hint="eastAsia" w:ascii="楷体" w:hAnsi="楷体" w:eastAsia="楷体" w:cs="Times New Roman"/>
                    </w:rPr>
                  </w:pPr>
                </w:p>
              </w:tc>
              <w:tc>
                <w:tcPr>
                  <w:tcW w:w="647" w:type="pct"/>
                  <w:vMerge w:val="continue"/>
                  <w:noWrap w:val="0"/>
                  <w:vAlign w:val="center"/>
                </w:tcPr>
                <w:p>
                  <w:pPr>
                    <w:rPr>
                      <w:rFonts w:hint="eastAsia" w:ascii="楷体" w:hAnsi="楷体" w:eastAsia="楷体" w:cs="Times New Roman"/>
                    </w:rPr>
                  </w:pPr>
                </w:p>
              </w:tc>
              <w:tc>
                <w:tcPr>
                  <w:tcW w:w="1944" w:type="pc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电器短路火灾的发生</w:t>
                  </w:r>
                </w:p>
              </w:tc>
              <w:tc>
                <w:tcPr>
                  <w:tcW w:w="755" w:type="pct"/>
                  <w:vMerge w:val="continue"/>
                  <w:noWrap w:val="0"/>
                  <w:vAlign w:val="top"/>
                </w:tcPr>
                <w:p>
                  <w:pPr>
                    <w:rPr>
                      <w:rFonts w:hint="eastAsia" w:ascii="楷体" w:hAnsi="楷体" w:eastAsia="楷体" w:cs="Times New Roman"/>
                    </w:rPr>
                  </w:pPr>
                </w:p>
              </w:tc>
              <w:tc>
                <w:tcPr>
                  <w:tcW w:w="568" w:type="pct"/>
                  <w:vMerge w:val="continue"/>
                  <w:noWrap w:val="0"/>
                  <w:vAlign w:val="top"/>
                </w:tcPr>
                <w:p>
                  <w:pPr>
                    <w:rPr>
                      <w:rFonts w:hint="eastAsia" w:ascii="楷体" w:hAnsi="楷体" w:eastAsia="楷体" w:cs="Times New Roman"/>
                    </w:rPr>
                  </w:pPr>
                </w:p>
              </w:tc>
              <w:tc>
                <w:tcPr>
                  <w:tcW w:w="796" w:type="pct"/>
                  <w:vMerge w:val="continue"/>
                  <w:noWrap w:val="0"/>
                  <w:vAlign w:val="top"/>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trPr>
              <w:tc>
                <w:tcPr>
                  <w:tcW w:w="287" w:type="pct"/>
                  <w:vMerge w:val="continue"/>
                  <w:tcBorders>
                    <w:bottom w:val="single" w:color="auto" w:sz="4" w:space="0"/>
                  </w:tcBorders>
                  <w:noWrap w:val="0"/>
                  <w:vAlign w:val="center"/>
                </w:tcPr>
                <w:p>
                  <w:pPr>
                    <w:rPr>
                      <w:rFonts w:hint="eastAsia" w:ascii="楷体" w:hAnsi="楷体" w:eastAsia="楷体" w:cs="Times New Roman"/>
                    </w:rPr>
                  </w:pPr>
                </w:p>
              </w:tc>
              <w:tc>
                <w:tcPr>
                  <w:tcW w:w="647" w:type="pct"/>
                  <w:vMerge w:val="continue"/>
                  <w:tcBorders>
                    <w:bottom w:val="single" w:color="auto" w:sz="4" w:space="0"/>
                  </w:tcBorders>
                  <w:noWrap w:val="0"/>
                  <w:vAlign w:val="center"/>
                </w:tcPr>
                <w:p>
                  <w:pPr>
                    <w:rPr>
                      <w:rFonts w:hint="eastAsia" w:ascii="楷体" w:hAnsi="楷体" w:eastAsia="楷体" w:cs="Times New Roman"/>
                    </w:rPr>
                  </w:pPr>
                </w:p>
              </w:tc>
              <w:tc>
                <w:tcPr>
                  <w:tcW w:w="1944" w:type="pct"/>
                  <w:tcBorders>
                    <w:bottom w:val="single" w:color="auto" w:sz="4" w:space="0"/>
                  </w:tcBorders>
                  <w:noWrap w:val="0"/>
                  <w:vAlign w:val="center"/>
                </w:tcPr>
                <w:p>
                  <w:pPr>
                    <w:rPr>
                      <w:rFonts w:hint="eastAsia" w:ascii="楷体" w:hAnsi="楷体" w:eastAsia="楷体" w:cs="Times New Roman"/>
                    </w:rPr>
                  </w:pPr>
                  <w:r>
                    <w:rPr>
                      <w:rFonts w:hint="eastAsia" w:ascii="楷体" w:hAnsi="楷体" w:eastAsia="楷体" w:cs="Times New Roman"/>
                    </w:rPr>
                    <w:t>化学品管理不善引发的火灾</w:t>
                  </w:r>
                </w:p>
              </w:tc>
              <w:tc>
                <w:tcPr>
                  <w:tcW w:w="755" w:type="pct"/>
                  <w:vMerge w:val="continue"/>
                  <w:tcBorders>
                    <w:bottom w:val="single" w:color="auto" w:sz="4" w:space="0"/>
                  </w:tcBorders>
                  <w:noWrap w:val="0"/>
                  <w:vAlign w:val="top"/>
                </w:tcPr>
                <w:p>
                  <w:pPr>
                    <w:rPr>
                      <w:rFonts w:hint="eastAsia" w:ascii="楷体" w:hAnsi="楷体" w:eastAsia="楷体" w:cs="Times New Roman"/>
                    </w:rPr>
                  </w:pPr>
                </w:p>
              </w:tc>
              <w:tc>
                <w:tcPr>
                  <w:tcW w:w="568" w:type="pct"/>
                  <w:vMerge w:val="continue"/>
                  <w:tcBorders>
                    <w:bottom w:val="single" w:color="auto" w:sz="4" w:space="0"/>
                  </w:tcBorders>
                  <w:noWrap w:val="0"/>
                  <w:vAlign w:val="top"/>
                </w:tcPr>
                <w:p>
                  <w:pPr>
                    <w:rPr>
                      <w:rFonts w:hint="eastAsia" w:ascii="楷体" w:hAnsi="楷体" w:eastAsia="楷体" w:cs="Times New Roman"/>
                    </w:rPr>
                  </w:pPr>
                </w:p>
              </w:tc>
              <w:tc>
                <w:tcPr>
                  <w:tcW w:w="796" w:type="pct"/>
                  <w:vMerge w:val="continue"/>
                  <w:tcBorders>
                    <w:bottom w:val="single" w:color="auto" w:sz="4" w:space="0"/>
                  </w:tcBorders>
                  <w:noWrap w:val="0"/>
                  <w:vAlign w:val="top"/>
                </w:tcPr>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87" w:type="pct"/>
                  <w:vMerge w:val="restart"/>
                  <w:noWrap w:val="0"/>
                  <w:vAlign w:val="center"/>
                </w:tcPr>
                <w:p>
                  <w:pPr>
                    <w:rPr>
                      <w:rFonts w:hint="eastAsia" w:ascii="楷体" w:hAnsi="楷体" w:eastAsia="楷体" w:cs="Times New Roman"/>
                      <w:lang w:eastAsia="zh-CN"/>
                    </w:rPr>
                  </w:pPr>
                  <w:r>
                    <w:rPr>
                      <w:rFonts w:hint="eastAsia" w:ascii="楷体" w:hAnsi="楷体" w:eastAsia="楷体" w:cs="Times New Roman"/>
                      <w:lang w:val="en-US" w:eastAsia="zh-CN"/>
                    </w:rPr>
                    <w:t>6</w:t>
                  </w:r>
                </w:p>
              </w:tc>
              <w:tc>
                <w:tcPr>
                  <w:tcW w:w="647" w:type="pct"/>
                  <w:vMerge w:val="restart"/>
                  <w:noWrap w:val="0"/>
                  <w:vAlign w:val="center"/>
                </w:tcPr>
                <w:p>
                  <w:pPr>
                    <w:rPr>
                      <w:rFonts w:hint="eastAsia" w:ascii="楷体" w:hAnsi="楷体" w:eastAsia="楷体" w:cs="Times New Roman"/>
                      <w:lang w:val="en-US" w:eastAsia="zh-CN"/>
                    </w:rPr>
                  </w:pPr>
                  <w:r>
                    <w:rPr>
                      <w:rFonts w:hint="eastAsia" w:ascii="楷体" w:hAnsi="楷体" w:eastAsia="楷体" w:cs="Times New Roman"/>
                      <w:lang w:val="en-US" w:eastAsia="zh-CN"/>
                    </w:rPr>
                    <w:t>危废弃物的</w:t>
                  </w:r>
                </w:p>
                <w:p>
                  <w:pPr>
                    <w:rPr>
                      <w:rFonts w:hint="eastAsia" w:ascii="楷体" w:hAnsi="楷体" w:eastAsia="楷体" w:cs="Times New Roman"/>
                      <w:lang w:val="en-US" w:eastAsia="zh-CN"/>
                    </w:rPr>
                  </w:pPr>
                  <w:r>
                    <w:rPr>
                      <w:rFonts w:hint="eastAsia" w:ascii="楷体" w:hAnsi="楷体" w:eastAsia="楷体" w:cs="Times New Roman"/>
                      <w:lang w:val="en-US" w:eastAsia="zh-CN"/>
                    </w:rPr>
                    <w:t>排放</w:t>
                  </w:r>
                </w:p>
              </w:tc>
              <w:tc>
                <w:tcPr>
                  <w:tcW w:w="1944" w:type="pct"/>
                  <w:noWrap w:val="0"/>
                  <w:vAlign w:val="center"/>
                </w:tcPr>
                <w:p>
                  <w:pPr>
                    <w:rPr>
                      <w:rFonts w:hint="eastAsia" w:ascii="楷体" w:hAnsi="楷体" w:eastAsia="楷体" w:cs="Times New Roman"/>
                      <w:lang w:val="en-US" w:eastAsia="zh-CN"/>
                    </w:rPr>
                  </w:pPr>
                  <w:r>
                    <w:rPr>
                      <w:rFonts w:hint="eastAsia" w:ascii="楷体" w:hAnsi="楷体" w:eastAsia="楷体" w:cs="Times New Roman"/>
                      <w:lang w:val="en-US" w:eastAsia="zh-CN"/>
                    </w:rPr>
                    <w:t>设备维修后含油棉纱布、含油配件的处置，废旧灯管、电池废弃、废油漆桶、废活性炭、漆渣处置</w:t>
                  </w:r>
                </w:p>
              </w:tc>
              <w:tc>
                <w:tcPr>
                  <w:tcW w:w="755" w:type="pct"/>
                  <w:vMerge w:val="restart"/>
                  <w:noWrap w:val="0"/>
                  <w:vAlign w:val="center"/>
                </w:tcPr>
                <w:p>
                  <w:pPr>
                    <w:rPr>
                      <w:rFonts w:hint="eastAsia" w:ascii="楷体" w:hAnsi="楷体" w:eastAsia="楷体" w:cs="Times New Roman"/>
                    </w:rPr>
                  </w:pPr>
                  <w:r>
                    <w:rPr>
                      <w:rFonts w:hint="eastAsia" w:ascii="楷体" w:hAnsi="楷体" w:eastAsia="楷体" w:cs="Times New Roman"/>
                    </w:rPr>
                    <w:t>危险废弃物的综合性污染</w:t>
                  </w:r>
                </w:p>
              </w:tc>
              <w:tc>
                <w:tcPr>
                  <w:tcW w:w="568" w:type="pct"/>
                  <w:vMerge w:val="restart"/>
                  <w:noWrap w:val="0"/>
                  <w:vAlign w:val="center"/>
                </w:tcPr>
                <w:p>
                  <w:pPr>
                    <w:rPr>
                      <w:rFonts w:hint="eastAsia" w:ascii="楷体" w:hAnsi="楷体" w:eastAsia="楷体" w:cs="Times New Roman"/>
                    </w:rPr>
                  </w:pPr>
                  <w:r>
                    <w:rPr>
                      <w:rFonts w:hint="eastAsia" w:ascii="楷体" w:hAnsi="楷体" w:eastAsia="楷体" w:cs="Times New Roman"/>
                    </w:rPr>
                    <w:t>将来/正常</w:t>
                  </w:r>
                </w:p>
              </w:tc>
              <w:tc>
                <w:tcPr>
                  <w:tcW w:w="796" w:type="pct"/>
                  <w:vMerge w:val="restart"/>
                  <w:noWrap w:val="0"/>
                  <w:vAlign w:val="center"/>
                </w:tcPr>
                <w:p>
                  <w:pPr>
                    <w:rPr>
                      <w:rFonts w:hint="eastAsia" w:ascii="楷体" w:hAnsi="楷体" w:eastAsia="楷体" w:cs="Times New Roman"/>
                    </w:rPr>
                  </w:pPr>
                  <w:r>
                    <w:rPr>
                      <w:rFonts w:hint="eastAsia" w:ascii="楷体" w:hAnsi="楷体" w:eastAsia="楷体" w:cs="Times New Roman"/>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87" w:type="pct"/>
                  <w:vMerge w:val="continue"/>
                  <w:noWrap w:val="0"/>
                  <w:vAlign w:val="center"/>
                </w:tcPr>
                <w:p>
                  <w:pPr>
                    <w:jc w:val="center"/>
                    <w:rPr>
                      <w:rFonts w:hint="eastAsia" w:ascii="黑体" w:hAnsi="黑体" w:eastAsia="黑体" w:cs="黑体"/>
                      <w:sz w:val="24"/>
                      <w:szCs w:val="24"/>
                    </w:rPr>
                  </w:pPr>
                </w:p>
              </w:tc>
              <w:tc>
                <w:tcPr>
                  <w:tcW w:w="647" w:type="pct"/>
                  <w:vMerge w:val="continue"/>
                  <w:noWrap w:val="0"/>
                  <w:vAlign w:val="center"/>
                </w:tcPr>
                <w:p>
                  <w:pPr>
                    <w:rPr>
                      <w:rFonts w:hint="eastAsia" w:ascii="楷体" w:hAnsi="楷体" w:eastAsia="楷体" w:cs="Times New Roman"/>
                      <w:lang w:val="en-US" w:eastAsia="zh-CN"/>
                    </w:rPr>
                  </w:pPr>
                </w:p>
              </w:tc>
              <w:tc>
                <w:tcPr>
                  <w:tcW w:w="1944" w:type="pct"/>
                  <w:noWrap w:val="0"/>
                  <w:vAlign w:val="center"/>
                </w:tcPr>
                <w:p>
                  <w:pPr>
                    <w:rPr>
                      <w:rFonts w:hint="eastAsia" w:ascii="楷体" w:hAnsi="楷体" w:eastAsia="楷体" w:cs="Times New Roman"/>
                      <w:lang w:val="en-US" w:eastAsia="zh-CN"/>
                    </w:rPr>
                  </w:pPr>
                  <w:r>
                    <w:rPr>
                      <w:rFonts w:hint="eastAsia" w:ascii="楷体" w:hAnsi="楷体" w:eastAsia="楷体" w:cs="Times New Roman"/>
                      <w:lang w:val="en-US" w:eastAsia="zh-CN"/>
                    </w:rPr>
                    <w:t>车间和仓库的废化学品和包装物的排放</w:t>
                  </w:r>
                </w:p>
              </w:tc>
              <w:tc>
                <w:tcPr>
                  <w:tcW w:w="755" w:type="pct"/>
                  <w:vMerge w:val="continue"/>
                  <w:noWrap w:val="0"/>
                  <w:vAlign w:val="center"/>
                </w:tcPr>
                <w:p>
                  <w:pPr>
                    <w:rPr>
                      <w:rFonts w:hint="eastAsia" w:ascii="黑体" w:hAnsi="黑体" w:eastAsia="黑体" w:cs="黑体"/>
                      <w:sz w:val="24"/>
                      <w:szCs w:val="24"/>
                    </w:rPr>
                  </w:pPr>
                </w:p>
              </w:tc>
              <w:tc>
                <w:tcPr>
                  <w:tcW w:w="568" w:type="pct"/>
                  <w:vMerge w:val="continue"/>
                  <w:noWrap w:val="0"/>
                  <w:vAlign w:val="center"/>
                </w:tcPr>
                <w:p>
                  <w:pPr>
                    <w:rPr>
                      <w:rFonts w:hint="eastAsia" w:ascii="黑体" w:hAnsi="黑体" w:eastAsia="黑体" w:cs="黑体"/>
                      <w:sz w:val="24"/>
                      <w:szCs w:val="24"/>
                    </w:rPr>
                  </w:pPr>
                </w:p>
              </w:tc>
              <w:tc>
                <w:tcPr>
                  <w:tcW w:w="796" w:type="pct"/>
                  <w:vMerge w:val="continue"/>
                  <w:noWrap w:val="0"/>
                  <w:vAlign w:val="center"/>
                </w:tcPr>
                <w:p>
                  <w:pPr>
                    <w:rPr>
                      <w:rFonts w:hint="eastAsia" w:ascii="黑体" w:hAnsi="黑体" w:eastAsia="黑体" w:cs="黑体"/>
                      <w:sz w:val="24"/>
                      <w:szCs w:val="24"/>
                    </w:rPr>
                  </w:pP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组织根据手册6.1.2条款、《危险源辨识与风险评价控制措施控制程序》要求，由办公室负责编制</w:t>
            </w:r>
            <w:bookmarkStart w:id="0" w:name="OLE_LINK1"/>
            <w:r>
              <w:rPr>
                <w:rFonts w:hint="eastAsia" w:ascii="楷体" w:hAnsi="楷体" w:eastAsia="楷体" w:cs="Times New Roman"/>
                <w:color w:val="auto"/>
                <w:lang w:val="en-US" w:eastAsia="zh-CN"/>
              </w:rPr>
              <w:t>《危险源风险辨识和评价一览表</w:t>
            </w:r>
            <w:bookmarkEnd w:id="0"/>
            <w:r>
              <w:rPr>
                <w:rFonts w:hint="eastAsia" w:ascii="楷体" w:hAnsi="楷体" w:eastAsia="楷体" w:cs="Times New Roman"/>
                <w:color w:val="auto"/>
                <w:lang w:val="en-US" w:eastAsia="zh-CN"/>
              </w:rPr>
              <w:t>》，指导各职能部门（基层单位）开展危险、有害因素风险识别、评价，负责各职能部门（基层单位）风险评价记录的审查与控制效果有效性验证。</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查《危险源辨识及风险评价表》，部门：质检部，识别了办公过程中垃圾不理不及时可能导致的疾病传染、人离开未断电源可能导致的的火灾、违规试验可能导致的人身伤害等危险源</w:t>
            </w:r>
          </w:p>
          <w:p>
            <w:pPr>
              <w:rPr>
                <w:rFonts w:hint="default"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组织有建立、更新《不可接受风险清单》。内容如下：</w:t>
            </w:r>
          </w:p>
          <w:tbl>
            <w:tblPr>
              <w:tblStyle w:val="10"/>
              <w:tblW w:w="1033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2570"/>
              <w:gridCol w:w="2144"/>
              <w:gridCol w:w="2000"/>
              <w:gridCol w:w="28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78" w:type="dxa"/>
                  <w:vAlign w:val="center"/>
                </w:tcPr>
                <w:p>
                  <w:pPr>
                    <w:jc w:val="center"/>
                    <w:rPr>
                      <w:rFonts w:cs="黑体" w:asciiTheme="minorEastAsia" w:hAnsiTheme="minorEastAsia" w:eastAsiaTheme="minorEastAsia"/>
                      <w:b/>
                      <w:spacing w:val="-20"/>
                      <w:szCs w:val="21"/>
                    </w:rPr>
                  </w:pPr>
                  <w:r>
                    <w:rPr>
                      <w:rFonts w:hint="eastAsia" w:cs="黑体" w:asciiTheme="minorEastAsia" w:hAnsiTheme="minorEastAsia" w:eastAsiaTheme="minorEastAsia"/>
                      <w:b/>
                      <w:spacing w:val="-20"/>
                      <w:szCs w:val="21"/>
                    </w:rPr>
                    <w:t>序号</w:t>
                  </w:r>
                </w:p>
              </w:tc>
              <w:tc>
                <w:tcPr>
                  <w:tcW w:w="2570"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活动点/工序/部位</w:t>
                  </w:r>
                </w:p>
              </w:tc>
              <w:tc>
                <w:tcPr>
                  <w:tcW w:w="2144"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潜在的危险因素</w:t>
                  </w:r>
                </w:p>
              </w:tc>
              <w:tc>
                <w:tcPr>
                  <w:tcW w:w="2000" w:type="dxa"/>
                  <w:vAlign w:val="center"/>
                </w:tcPr>
                <w:p>
                  <w:pPr>
                    <w:jc w:val="center"/>
                    <w:rPr>
                      <w:rFonts w:cs="黑体" w:asciiTheme="minorEastAsia" w:hAnsiTheme="minorEastAsia" w:eastAsiaTheme="minorEastAsia"/>
                      <w:b/>
                      <w:caps/>
                      <w:szCs w:val="21"/>
                    </w:rPr>
                  </w:pPr>
                  <w:r>
                    <w:rPr>
                      <w:rFonts w:hint="eastAsia" w:cs="黑体" w:asciiTheme="minorEastAsia" w:hAnsiTheme="minorEastAsia" w:eastAsiaTheme="minorEastAsia"/>
                      <w:b/>
                      <w:caps/>
                      <w:szCs w:val="21"/>
                    </w:rPr>
                    <w:t>可能导致的结果</w:t>
                  </w:r>
                </w:p>
              </w:tc>
              <w:tc>
                <w:tcPr>
                  <w:tcW w:w="2844" w:type="dxa"/>
                  <w:vAlign w:val="center"/>
                </w:tcPr>
                <w:p>
                  <w:pPr>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257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办公场所、车间、仓库等区域的易燃品的堆放</w:t>
                  </w:r>
                </w:p>
              </w:tc>
              <w:tc>
                <w:tcPr>
                  <w:tcW w:w="2144"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出现明火引起的火灾</w:t>
                  </w:r>
                </w:p>
              </w:tc>
              <w:tc>
                <w:tcPr>
                  <w:tcW w:w="200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车间生产、物资装卸及运输等作业不当</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引起人员机械伤害</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压力容器设备</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设备老化或操作部当发生爆炸</w:t>
                  </w:r>
                </w:p>
              </w:tc>
              <w:tc>
                <w:tcPr>
                  <w:tcW w:w="200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人员伤亡</w:t>
                  </w:r>
                </w:p>
              </w:tc>
              <w:tc>
                <w:tcPr>
                  <w:tcW w:w="2844"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生产和办公用电</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设备损坏，线路老化，电路设置不符合要求</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人员触电，火灾事故等</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生产车间</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（噪声、油漆）职业病伤害</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778"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6</w:t>
                  </w:r>
                </w:p>
              </w:tc>
              <w:tc>
                <w:tcPr>
                  <w:tcW w:w="257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车间、仓库、食堂</w:t>
                  </w:r>
                </w:p>
              </w:tc>
              <w:tc>
                <w:tcPr>
                  <w:tcW w:w="21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危化品泄漏</w:t>
                  </w:r>
                </w:p>
              </w:tc>
              <w:tc>
                <w:tcPr>
                  <w:tcW w:w="2000"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人员的人身伤害</w:t>
                  </w:r>
                </w:p>
              </w:tc>
              <w:tc>
                <w:tcPr>
                  <w:tcW w:w="2844" w:type="dxa"/>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做好防护和应急响应工作</w:t>
                  </w:r>
                </w:p>
              </w:tc>
            </w:tr>
          </w:tbl>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职业健康安全风险与危险源辨识清单判定的内容一致，办公室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atLeast"/>
        </w:trPr>
        <w:tc>
          <w:tcPr>
            <w:tcW w:w="2160" w:type="dxa"/>
            <w:vAlign w:val="top"/>
          </w:tcPr>
          <w:p>
            <w:pPr>
              <w:spacing w:line="360" w:lineRule="auto"/>
              <w:jc w:val="left"/>
              <w:rPr>
                <w:rFonts w:hint="eastAsia" w:ascii="楷体" w:hAnsi="楷体" w:eastAsia="楷体" w:cs="Times New Roman"/>
                <w:color w:val="auto"/>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60"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楷体" w:hAnsi="楷体" w:eastAsia="楷体" w:cs="Times New Roman"/>
                <w:color w:val="auto"/>
                <w:lang w:val="en-US" w:eastAsia="zh-CN"/>
              </w:rPr>
            </w:pPr>
          </w:p>
        </w:tc>
        <w:tc>
          <w:tcPr>
            <w:tcW w:w="10596" w:type="dxa"/>
            <w:vAlign w:val="top"/>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有《</w:t>
            </w:r>
            <w:r>
              <w:rPr>
                <w:rFonts w:hint="eastAsia" w:ascii="楷体" w:hAnsi="楷体" w:eastAsia="楷体" w:cs="Times New Roman"/>
                <w:color w:val="auto"/>
                <w:lang w:val="zh-CN" w:eastAsia="zh-CN"/>
              </w:rPr>
              <w:t>合规性评价控制程序</w:t>
            </w:r>
            <w:r>
              <w:rPr>
                <w:rFonts w:hint="eastAsia" w:ascii="楷体" w:hAnsi="楷体" w:eastAsia="楷体" w:cs="Times New Roman"/>
                <w:color w:val="auto"/>
                <w:lang w:val="en-US" w:eastAsia="zh-CN"/>
              </w:rPr>
              <w:t>》等，</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提供公司《安全、环境管理适用法律、法规及其他要求一览表》，主要有质量法、安全生产法、环境保护法、环境噪声污染防治法、劳动法、消防法、环境空气质量标准、固体废弃物环境防治法、仓库防火安全管理规则、中华人民共和国节约能源法、劳动保护用品管理规定、《工业企业厂界环境噪声排放标准》、《环境空气质量标准》、《工作场所有害因素职业接触限值》、《环境管理体系 要求及使用指南》、《职业健康安全管理体系 要求》及相关产品标准</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获取方式：网上查录或购买，经查阅为现行有效版本，目前满足体系运行需要。</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查合规性评价报告：2022年6月10日进行合规性评价，提供了《合规性评价报告》，内容包括：活动场所/产品/服务、重要环境因素、不可接受风险、现有控制措施、适用的法律法规及其对应条款、符合性评价等。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评价了相关的法律法规，涉及火灾、固废排放、资源消耗、机械伤害、触电等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评价结果：公司能够按照有关法律法规、公司文件进行控制、检查，能够遵守国家、地方的法律法规，合规性评价符合要求。</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法律法规中未列入与废气相关的标准及法规：《工作场所职业卫生管理规定》、《国家危险废物名录》、《生产经营单位生产安全事故应急预案编制导则》等；</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部分法律法规未进行更新：《中华人民共和国噪声污染防治法》、《建设项目环境影响评价分类管理名录》等</w:t>
            </w:r>
          </w:p>
        </w:tc>
        <w:tc>
          <w:tcPr>
            <w:tcW w:w="993" w:type="dxa"/>
          </w:tcPr>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lang w:val="en-US" w:eastAsia="zh-CN"/>
              </w:rPr>
              <w:t>EO</w:t>
            </w:r>
            <w:r>
              <w:rPr>
                <w:rFonts w:hint="eastAsia" w:ascii="楷体" w:hAnsi="楷体" w:eastAsia="楷体"/>
              </w:rPr>
              <w:t>6.2</w:t>
            </w:r>
          </w:p>
        </w:tc>
        <w:tc>
          <w:tcPr>
            <w:tcW w:w="10596" w:type="dxa"/>
          </w:tcPr>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目标的制定符合部门主要工作流程实际情况，有针对性，可测量。与质量方针保持一致。明确了目标考核的具体方法和频次。</w:t>
            </w:r>
          </w:p>
          <w:p>
            <w:pPr>
              <w:rPr>
                <w:rFonts w:hint="default" w:ascii="楷体" w:hAnsi="楷体" w:eastAsia="楷体" w:cs="宋体"/>
                <w:b w:val="0"/>
                <w:bCs/>
                <w:lang w:val="en-US" w:eastAsia="zh-CN"/>
              </w:rPr>
            </w:pPr>
            <w:r>
              <w:rPr>
                <w:rFonts w:hint="eastAsia" w:ascii="楷体" w:hAnsi="楷体" w:eastAsia="楷体" w:cs="宋体"/>
                <w:b/>
                <w:lang w:val="en-US" w:eastAsia="zh-CN"/>
              </w:rPr>
              <w:t>环境目标：                              考核结果</w:t>
            </w:r>
            <w:r>
              <w:rPr>
                <w:rFonts w:hint="eastAsia" w:ascii="楷体" w:hAnsi="楷体" w:eastAsia="楷体" w:cs="宋体"/>
                <w:b w:val="0"/>
                <w:bCs/>
                <w:lang w:val="en-US" w:eastAsia="zh-CN"/>
              </w:rPr>
              <w:t xml:space="preserve"> </w:t>
            </w:r>
          </w:p>
          <w:p>
            <w:pPr>
              <w:pStyle w:val="23"/>
              <w:rPr>
                <w:rFonts w:hint="eastAsia" w:ascii="楷体" w:hAnsi="楷体" w:eastAsia="楷体" w:cs="宋体"/>
                <w:b w:val="0"/>
                <w:bCs w:val="0"/>
                <w:lang w:val="en-US" w:eastAsia="zh-CN"/>
              </w:rPr>
            </w:pPr>
            <w:r>
              <w:rPr>
                <w:rFonts w:hint="default" w:ascii="楷体" w:hAnsi="楷体" w:eastAsia="楷体" w:cs="宋体"/>
                <w:b w:val="0"/>
                <w:bCs w:val="0"/>
                <w:lang w:val="en-US" w:eastAsia="zh-CN"/>
              </w:rPr>
              <w:t>固体废弃物回收处理率≥99%；</w:t>
            </w:r>
            <w:r>
              <w:rPr>
                <w:rFonts w:hint="eastAsia" w:ascii="楷体" w:hAnsi="楷体" w:eastAsia="楷体" w:cs="宋体"/>
                <w:b w:val="0"/>
                <w:bCs w:val="0"/>
                <w:lang w:val="en-US" w:eastAsia="zh-CN"/>
              </w:rPr>
              <w:t xml:space="preserve">           100</w:t>
            </w:r>
          </w:p>
          <w:p>
            <w:pPr>
              <w:pStyle w:val="23"/>
              <w:rPr>
                <w:rFonts w:hint="default" w:ascii="楷体" w:hAnsi="楷体" w:eastAsia="楷体" w:cs="宋体"/>
                <w:b w:val="0"/>
                <w:bCs w:val="0"/>
                <w:lang w:val="en-US" w:eastAsia="zh-CN"/>
              </w:rPr>
            </w:pPr>
            <w:r>
              <w:rPr>
                <w:rFonts w:hint="default" w:ascii="楷体" w:hAnsi="楷体" w:eastAsia="楷体" w:cs="宋体"/>
                <w:b w:val="0"/>
                <w:bCs w:val="0"/>
                <w:lang w:val="en-US" w:eastAsia="zh-CN"/>
              </w:rPr>
              <w:t>废弃物请回收部门清运及时率100%</w:t>
            </w:r>
            <w:r>
              <w:rPr>
                <w:rFonts w:hint="eastAsia" w:ascii="楷体" w:hAnsi="楷体" w:eastAsia="楷体" w:cs="宋体"/>
                <w:b w:val="0"/>
                <w:bCs w:val="0"/>
                <w:lang w:val="en-US" w:eastAsia="zh-CN"/>
              </w:rPr>
              <w:t xml:space="preserve">        100</w:t>
            </w:r>
          </w:p>
          <w:p>
            <w:pPr>
              <w:pStyle w:val="23"/>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3"/>
              <w:rPr>
                <w:rFonts w:hint="eastAsia" w:ascii="楷体" w:hAnsi="楷体" w:eastAsia="楷体" w:cs="宋体"/>
                <w:b w:val="0"/>
                <w:bCs w:val="0"/>
                <w:lang w:val="en-US" w:eastAsia="zh-CN"/>
              </w:rPr>
            </w:pPr>
            <w:r>
              <w:rPr>
                <w:rFonts w:hint="eastAsia" w:ascii="楷体" w:hAnsi="楷体" w:eastAsia="楷体" w:cs="宋体"/>
                <w:b w:val="0"/>
                <w:bCs w:val="0"/>
                <w:lang w:val="en-US" w:eastAsia="zh-CN"/>
              </w:rPr>
              <w:t xml:space="preserve">重大安全事故发生率为0                 0 </w:t>
            </w:r>
          </w:p>
          <w:p>
            <w:pPr>
              <w:pStyle w:val="23"/>
              <w:rPr>
                <w:rFonts w:hint="eastAsia" w:ascii="楷体" w:hAnsi="楷体" w:eastAsia="楷体" w:cs="宋体"/>
                <w:b w:val="0"/>
                <w:bCs w:val="0"/>
                <w:lang w:val="en-US" w:eastAsia="zh-CN"/>
              </w:rPr>
            </w:pPr>
            <w:r>
              <w:rPr>
                <w:rFonts w:hint="eastAsia" w:ascii="楷体" w:hAnsi="楷体" w:eastAsia="楷体" w:cs="宋体"/>
                <w:b w:val="0"/>
                <w:bCs w:val="0"/>
                <w:lang w:val="en-US" w:eastAsia="zh-CN"/>
              </w:rPr>
              <w:t>火灾发生率为0                        0</w:t>
            </w:r>
          </w:p>
          <w:p>
            <w:pPr>
              <w:pStyle w:val="23"/>
              <w:rPr>
                <w:rFonts w:hint="eastAsia" w:ascii="楷体" w:hAnsi="楷体" w:eastAsia="楷体" w:cs="宋体"/>
                <w:b w:val="0"/>
                <w:bCs w:val="0"/>
                <w:lang w:val="en-US" w:eastAsia="zh-CN"/>
              </w:rPr>
            </w:pPr>
            <w:r>
              <w:rPr>
                <w:rFonts w:hint="default" w:ascii="楷体" w:hAnsi="楷体" w:eastAsia="楷体" w:cs="宋体"/>
                <w:b w:val="0"/>
                <w:bCs w:val="0"/>
                <w:lang w:val="en-US" w:eastAsia="zh-CN"/>
              </w:rPr>
              <w:t>职业病发生率为0</w:t>
            </w:r>
            <w:r>
              <w:rPr>
                <w:rFonts w:hint="eastAsia" w:ascii="楷体" w:hAnsi="楷体" w:eastAsia="楷体" w:cs="宋体"/>
                <w:b w:val="0"/>
                <w:bCs w:val="0"/>
                <w:lang w:val="en-US" w:eastAsia="zh-CN"/>
              </w:rPr>
              <w:t xml:space="preserve">                      0</w:t>
            </w:r>
          </w:p>
          <w:p>
            <w:pPr>
              <w:rPr>
                <w:rFonts w:ascii="楷体" w:hAnsi="楷体" w:eastAsia="楷体"/>
                <w:b/>
              </w:rPr>
            </w:pPr>
            <w:r>
              <w:rPr>
                <w:rFonts w:ascii="楷体" w:hAnsi="楷体" w:eastAsia="楷体" w:cs="宋体"/>
                <w:highlight w:val="lightGray"/>
              </w:rPr>
              <w:sym w:font="Wingdings 2" w:char="F098"/>
            </w:r>
            <w:r>
              <w:rPr>
                <w:rFonts w:hint="eastAsia" w:ascii="楷体" w:hAnsi="楷体" w:eastAsia="楷体" w:cs="宋体"/>
              </w:rPr>
              <w:t>目标在各部门进行了分解，</w:t>
            </w:r>
            <w:r>
              <w:rPr>
                <w:rFonts w:hint="eastAsia" w:ascii="楷体" w:hAnsi="楷体" w:eastAsia="楷体" w:cs="宋体"/>
                <w:lang w:val="en-US" w:eastAsia="zh-CN"/>
              </w:rPr>
              <w:t>考核时间</w:t>
            </w:r>
            <w:r>
              <w:rPr>
                <w:rFonts w:hint="eastAsia" w:ascii="楷体" w:hAnsi="楷体" w:eastAsia="楷体" w:cs="宋体"/>
              </w:rPr>
              <w:t>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1-6</w:t>
            </w:r>
            <w:r>
              <w:rPr>
                <w:rFonts w:hint="eastAsia" w:ascii="楷体" w:hAnsi="楷体" w:eastAsia="楷体" w:cs="宋体"/>
              </w:rPr>
              <w:t>月进行了考核，结果显示本年度目标实现。</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rPr>
              <w:t>能力</w:t>
            </w:r>
          </w:p>
        </w:tc>
        <w:tc>
          <w:tcPr>
            <w:tcW w:w="960" w:type="dxa"/>
            <w:vAlign w:val="top"/>
          </w:tcPr>
          <w:p>
            <w:pPr>
              <w:rPr>
                <w:rFonts w:hint="eastAsia" w:ascii="楷体" w:hAnsi="楷体" w:eastAsia="楷体" w:cs="Times New Roman"/>
                <w:bCs/>
                <w:szCs w:val="21"/>
              </w:rPr>
            </w:pPr>
            <w:r>
              <w:rPr>
                <w:rFonts w:hint="eastAsia" w:ascii="楷体" w:hAnsi="楷体" w:eastAsia="楷体"/>
                <w:b/>
                <w:bCs/>
                <w:lang w:val="en-US" w:eastAsia="zh-CN"/>
              </w:rPr>
              <w:t>EO</w:t>
            </w:r>
            <w:r>
              <w:rPr>
                <w:rFonts w:hint="eastAsia" w:ascii="楷体" w:hAnsi="楷体" w:eastAsia="楷体"/>
                <w:b/>
                <w:bCs/>
              </w:rPr>
              <w:t>7.2</w:t>
            </w:r>
          </w:p>
        </w:tc>
        <w:tc>
          <w:tcPr>
            <w:tcW w:w="10596" w:type="dxa"/>
            <w:vAlign w:val="top"/>
          </w:tcPr>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办公室编制并保持《人力资源控制程序》对从事影响质量管理体系绩效和有效性的工作人员进行意识和能力的评定，并进行必要的教育和培训，以提高质量意识，确保其能够胜任其工作。</w:t>
            </w:r>
          </w:p>
          <w:p>
            <w:pPr>
              <w:rPr>
                <w:rFonts w:ascii="楷体" w:hAnsi="楷体" w:eastAsia="楷体"/>
                <w:bCs/>
              </w:rPr>
            </w:pPr>
            <w:r>
              <w:rPr>
                <w:rFonts w:ascii="楷体" w:hAnsi="楷体" w:eastAsia="楷体"/>
                <w:bCs/>
              </w:rPr>
              <w:t>--</w:t>
            </w:r>
            <w:r>
              <w:rPr>
                <w:rFonts w:hint="eastAsia" w:ascii="楷体" w:hAnsi="楷体" w:eastAsia="楷体"/>
                <w:bCs/>
              </w:rPr>
              <w:t>抽</w:t>
            </w:r>
            <w:r>
              <w:rPr>
                <w:rFonts w:hint="eastAsia" w:ascii="楷体" w:hAnsi="楷体" w:eastAsia="楷体"/>
                <w:bCs/>
                <w:lang w:eastAsia="zh-CN"/>
              </w:rPr>
              <w:t>办公室</w:t>
            </w:r>
            <w:r>
              <w:rPr>
                <w:rFonts w:hint="eastAsia" w:ascii="楷体" w:hAnsi="楷体" w:eastAsia="楷体"/>
                <w:bCs/>
              </w:rPr>
              <w:t>根据任职资格条件进行资格审查，考核合格后，可任用。</w:t>
            </w:r>
          </w:p>
          <w:p>
            <w:pPr>
              <w:rPr>
                <w:rFonts w:hint="eastAsia" w:ascii="Times New Roman" w:hAnsi="Times New Roman" w:eastAsia="宋体" w:cs="Times New Roman"/>
                <w:bCs/>
                <w:spacing w:val="10"/>
                <w:kern w:val="2"/>
                <w:sz w:val="21"/>
                <w:lang w:val="en-US" w:eastAsia="zh-CN" w:bidi="ar-SA"/>
              </w:rPr>
            </w:pPr>
            <w:r>
              <w:rPr>
                <w:rFonts w:ascii="楷体" w:hAnsi="楷体" w:eastAsia="楷体"/>
                <w:bCs/>
              </w:rPr>
              <w:t>--</w:t>
            </w:r>
            <w:r>
              <w:rPr>
                <w:rFonts w:hint="eastAsia" w:ascii="楷体" w:hAnsi="楷体" w:eastAsia="楷体"/>
                <w:bCs/>
              </w:rPr>
              <w:t>抽企业提供的培训记录</w:t>
            </w:r>
          </w:p>
          <w:p>
            <w:pPr>
              <w:pStyle w:val="23"/>
              <w:rPr>
                <w:rFonts w:hint="eastAsia" w:ascii="楷体" w:hAnsi="楷体" w:eastAsia="楷体" w:cs="Times New Roman"/>
                <w:bCs/>
                <w:spacing w:val="0"/>
                <w:kern w:val="2"/>
                <w:sz w:val="21"/>
                <w:lang w:val="en-US" w:eastAsia="zh-CN" w:bidi="ar-SA"/>
              </w:rPr>
            </w:pPr>
            <w:r>
              <w:rPr>
                <w:rFonts w:hint="eastAsia" w:ascii="楷体" w:hAnsi="楷体" w:eastAsia="楷体" w:cs="Times New Roman"/>
                <w:bCs/>
                <w:spacing w:val="0"/>
                <w:kern w:val="2"/>
                <w:sz w:val="21"/>
                <w:lang w:val="en-US" w:eastAsia="zh-CN" w:bidi="ar-SA"/>
              </w:rPr>
              <w:t>2022年年度培训计划8项内容：</w:t>
            </w:r>
          </w:p>
          <w:p>
            <w:pPr>
              <w:pStyle w:val="23"/>
              <w:rPr>
                <w:rFonts w:hint="eastAsia" w:ascii="楷体" w:hAnsi="楷体" w:eastAsia="楷体" w:cs="Times New Roman"/>
                <w:bCs/>
                <w:spacing w:val="0"/>
                <w:kern w:val="2"/>
                <w:sz w:val="21"/>
                <w:lang w:val="en-US" w:eastAsia="zh-CN" w:bidi="ar-SA"/>
              </w:rPr>
            </w:pPr>
            <w:r>
              <w:rPr>
                <w:rFonts w:hint="eastAsia" w:ascii="楷体" w:hAnsi="楷体" w:eastAsia="楷体" w:cs="Times New Roman"/>
                <w:bCs/>
                <w:spacing w:val="0"/>
                <w:kern w:val="2"/>
                <w:sz w:val="21"/>
                <w:lang w:val="en-US" w:eastAsia="zh-CN" w:bidi="ar-SA"/>
              </w:rPr>
              <w:t>抽查2022年1月15日，环境、职业健康安全管理方针、目标及管理方案培训，培训人员：各部门负责人，培训结果：员工掌握了企业的“EO管理方针和目标”的具体内容</w:t>
            </w:r>
          </w:p>
          <w:p>
            <w:pPr>
              <w:pStyle w:val="23"/>
              <w:rPr>
                <w:rFonts w:hint="default" w:ascii="楷体" w:hAnsi="楷体" w:eastAsia="楷体" w:cs="Times New Roman"/>
                <w:bCs/>
                <w:spacing w:val="0"/>
                <w:kern w:val="2"/>
                <w:sz w:val="21"/>
                <w:lang w:val="en-US" w:eastAsia="zh-CN" w:bidi="ar-SA"/>
              </w:rPr>
            </w:pPr>
            <w:r>
              <w:rPr>
                <w:rFonts w:hint="eastAsia" w:ascii="楷体" w:hAnsi="楷体" w:eastAsia="楷体" w:cs="Times New Roman"/>
                <w:bCs/>
                <w:spacing w:val="0"/>
                <w:kern w:val="2"/>
                <w:sz w:val="21"/>
                <w:lang w:val="en-US" w:eastAsia="zh-CN" w:bidi="ar-SA"/>
              </w:rPr>
              <w:t>2022年1月15日，</w:t>
            </w:r>
            <w:r>
              <w:rPr>
                <w:rFonts w:hint="default" w:ascii="楷体" w:hAnsi="楷体" w:eastAsia="楷体" w:cs="Times New Roman"/>
                <w:bCs/>
                <w:spacing w:val="0"/>
                <w:kern w:val="2"/>
                <w:sz w:val="21"/>
                <w:lang w:val="en-US" w:eastAsia="zh-CN" w:bidi="ar-SA"/>
              </w:rPr>
              <w:t>环境因素识别、危险源辨别培训</w:t>
            </w:r>
            <w:r>
              <w:rPr>
                <w:rFonts w:hint="eastAsia" w:ascii="楷体" w:hAnsi="楷体" w:eastAsia="楷体" w:cs="Times New Roman"/>
                <w:bCs/>
                <w:spacing w:val="0"/>
                <w:kern w:val="2"/>
                <w:sz w:val="21"/>
                <w:lang w:val="en-US" w:eastAsia="zh-CN" w:bidi="ar-SA"/>
              </w:rPr>
              <w:t>，培训人员：各部门负责人，培训结果：人员基本对环境因素识别、危险源辨别等有了新的认识</w:t>
            </w:r>
          </w:p>
          <w:p>
            <w:pPr>
              <w:rPr>
                <w:rFonts w:hint="default" w:ascii="楷体" w:hAnsi="楷体" w:eastAsia="楷体" w:cs="Times New Roman"/>
                <w:bCs/>
                <w:szCs w:val="21"/>
                <w:lang w:val="en-US"/>
              </w:rPr>
            </w:pPr>
            <w:r>
              <w:rPr>
                <w:rFonts w:hint="eastAsia" w:ascii="楷体" w:hAnsi="楷体" w:eastAsia="楷体" w:cs="Times New Roman"/>
                <w:bCs/>
                <w:spacing w:val="0"/>
                <w:kern w:val="2"/>
                <w:sz w:val="21"/>
                <w:lang w:val="en-US" w:eastAsia="zh-CN" w:bidi="ar-SA"/>
              </w:rPr>
              <w:sym w:font="Wingdings 2" w:char="F098"/>
            </w:r>
            <w:r>
              <w:rPr>
                <w:rFonts w:hint="eastAsia" w:ascii="楷体" w:hAnsi="楷体" w:eastAsia="楷体" w:cs="Times New Roman"/>
                <w:bCs/>
                <w:spacing w:val="0"/>
                <w:kern w:val="2"/>
                <w:sz w:val="21"/>
                <w:lang w:val="en-US" w:eastAsia="zh-CN" w:bidi="ar-SA"/>
              </w:rPr>
              <w:t>截至目前，提供2022年第1-3季度培训资料。</w:t>
            </w:r>
          </w:p>
        </w:tc>
        <w:tc>
          <w:tcPr>
            <w:tcW w:w="993" w:type="dxa"/>
            <w:vAlign w:val="top"/>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rPr>
                <w:rFonts w:hint="eastAsia" w:ascii="楷体" w:hAnsi="楷体" w:eastAsia="楷体" w:cs="Times New Roman"/>
                <w:bCs/>
                <w:szCs w:val="21"/>
              </w:rPr>
            </w:pPr>
            <w:r>
              <w:rPr>
                <w:rFonts w:hint="eastAsia" w:ascii="楷体" w:hAnsi="楷体" w:eastAsia="楷体"/>
              </w:rPr>
              <w:t>意识</w:t>
            </w:r>
          </w:p>
        </w:tc>
        <w:tc>
          <w:tcPr>
            <w:tcW w:w="960" w:type="dxa"/>
            <w:vAlign w:val="top"/>
          </w:tcPr>
          <w:p>
            <w:pPr>
              <w:rPr>
                <w:rFonts w:hint="eastAsia" w:ascii="楷体" w:hAnsi="楷体" w:eastAsia="楷体" w:cs="Times New Roman"/>
                <w:bCs/>
                <w:szCs w:val="21"/>
              </w:rPr>
            </w:pPr>
            <w:r>
              <w:rPr>
                <w:rFonts w:hint="eastAsia" w:ascii="楷体" w:hAnsi="楷体" w:eastAsia="楷体"/>
                <w:b/>
                <w:bCs/>
                <w:lang w:val="en-US" w:eastAsia="zh-CN"/>
              </w:rPr>
              <w:t>EO</w:t>
            </w:r>
            <w:r>
              <w:rPr>
                <w:rFonts w:hint="eastAsia" w:ascii="楷体" w:hAnsi="楷体" w:eastAsia="楷体"/>
                <w:b/>
                <w:bCs/>
              </w:rPr>
              <w:t>7.3</w:t>
            </w:r>
          </w:p>
        </w:tc>
        <w:tc>
          <w:tcPr>
            <w:tcW w:w="10596" w:type="dxa"/>
            <w:vAlign w:val="top"/>
          </w:tcPr>
          <w:p>
            <w:pPr>
              <w:spacing w:line="260" w:lineRule="exact"/>
              <w:jc w:val="left"/>
              <w:rPr>
                <w:rFonts w:hint="default" w:ascii="楷体" w:hAnsi="楷体" w:eastAsia="楷体" w:cs="Times New Roman"/>
                <w:bCs/>
                <w:szCs w:val="21"/>
                <w:lang w:val="en-US"/>
              </w:rPr>
            </w:pPr>
            <w:r>
              <w:rPr>
                <w:rFonts w:hint="eastAsia" w:ascii="楷体" w:hAnsi="楷体" w:eastAsia="楷体"/>
                <w:bCs/>
              </w:rPr>
              <w:sym w:font="Wingdings 2" w:char="F098"/>
            </w:r>
            <w:r>
              <w:rPr>
                <w:rFonts w:hint="eastAsia" w:ascii="楷体" w:hAnsi="楷体" w:eastAsia="楷体"/>
                <w:bCs/>
              </w:rPr>
              <w:t>在企业制定的《年度培训计划》中，通过培训对人员的质量管理意识进行提升，培训考核合格率均为100%。通过培训、面谈等沟通方式，提高了员工的素质，增强了员工的环保意识，员工认识到了自身贡献的重要性，目前公司人员比较稳定，人员没有变化。</w:t>
            </w:r>
          </w:p>
        </w:tc>
        <w:tc>
          <w:tcPr>
            <w:tcW w:w="993" w:type="dxa"/>
            <w:vAlign w:val="top"/>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rPr>
              <w:t>沟通</w:t>
            </w:r>
          </w:p>
        </w:tc>
        <w:tc>
          <w:tcPr>
            <w:tcW w:w="960" w:type="dxa"/>
            <w:vAlign w:val="top"/>
          </w:tcPr>
          <w:p>
            <w:pPr>
              <w:rPr>
                <w:rFonts w:hint="eastAsia" w:ascii="楷体" w:hAnsi="楷体" w:eastAsia="楷体" w:cs="Times New Roman"/>
                <w:bCs/>
                <w:szCs w:val="21"/>
              </w:rPr>
            </w:pPr>
            <w:r>
              <w:rPr>
                <w:rFonts w:hint="eastAsia" w:ascii="楷体" w:hAnsi="楷体" w:eastAsia="楷体"/>
                <w:b/>
                <w:bCs/>
                <w:lang w:val="en-US" w:eastAsia="zh-CN"/>
              </w:rPr>
              <w:t>EO</w:t>
            </w:r>
            <w:r>
              <w:rPr>
                <w:rFonts w:hint="eastAsia" w:ascii="楷体" w:hAnsi="楷体" w:eastAsia="楷体"/>
                <w:b/>
                <w:bCs/>
              </w:rPr>
              <w:t>7.4</w:t>
            </w:r>
          </w:p>
        </w:tc>
        <w:tc>
          <w:tcPr>
            <w:tcW w:w="10596" w:type="dxa"/>
            <w:vAlign w:val="top"/>
          </w:tcPr>
          <w:p>
            <w:pPr>
              <w:rPr>
                <w:rFonts w:ascii="楷体" w:hAnsi="楷体" w:eastAsia="楷体"/>
                <w:bCs/>
              </w:rPr>
            </w:pPr>
            <w:r>
              <w:rPr>
                <w:rFonts w:hint="eastAsia" w:ascii="楷体" w:hAnsi="楷体" w:eastAsia="楷体"/>
                <w:bCs/>
              </w:rPr>
              <w:t>企业在《质量手册》中规定沟通的方式，《质量手册》7</w:t>
            </w:r>
            <w:r>
              <w:rPr>
                <w:rFonts w:ascii="楷体" w:hAnsi="楷体" w:eastAsia="楷体"/>
                <w:bCs/>
              </w:rPr>
              <w:t>.4</w:t>
            </w:r>
            <w:r>
              <w:rPr>
                <w:rFonts w:hint="eastAsia" w:ascii="楷体" w:hAnsi="楷体" w:eastAsia="楷体"/>
                <w:bCs/>
              </w:rPr>
              <w:t>规定内外部沟通方式如下：</w:t>
            </w:r>
          </w:p>
          <w:p>
            <w:pPr>
              <w:rPr>
                <w:rFonts w:ascii="楷体" w:hAnsi="楷体" w:eastAsia="楷体"/>
                <w:bCs/>
              </w:rPr>
            </w:pPr>
            <w:r>
              <w:rPr>
                <w:rFonts w:hint="eastAsia" w:ascii="楷体" w:hAnsi="楷体" w:eastAsia="楷体"/>
                <w:bCs/>
              </w:rPr>
              <w:t>公司内外部沟通方法可以采取文件、记录在各部门相互传递、会议形式及宣传栏等任何一种方式或它们的组合来达到各部门及各级人员间的沟通的目的。沟通内容有:</w:t>
            </w:r>
          </w:p>
          <w:p>
            <w:pPr>
              <w:rPr>
                <w:rFonts w:ascii="楷体" w:hAnsi="楷体" w:eastAsia="楷体"/>
                <w:bCs/>
              </w:rPr>
            </w:pPr>
            <w:r>
              <w:rPr>
                <w:rFonts w:hint="eastAsia" w:ascii="楷体" w:hAnsi="楷体" w:eastAsia="楷体"/>
                <w:bCs/>
              </w:rPr>
              <w:t>a.质量管理体系的有效性；</w:t>
            </w:r>
          </w:p>
          <w:p>
            <w:pPr>
              <w:rPr>
                <w:rFonts w:ascii="楷体" w:hAnsi="楷体" w:eastAsia="楷体"/>
                <w:bCs/>
              </w:rPr>
            </w:pPr>
            <w:r>
              <w:rPr>
                <w:rFonts w:hint="eastAsia" w:ascii="楷体" w:hAnsi="楷体" w:eastAsia="楷体"/>
                <w:bCs/>
              </w:rPr>
              <w:t>b.顾客和相关方反馈的质量信息；</w:t>
            </w:r>
          </w:p>
          <w:p>
            <w:pPr>
              <w:rPr>
                <w:rFonts w:ascii="楷体" w:hAnsi="楷体" w:eastAsia="楷体"/>
                <w:bCs/>
              </w:rPr>
            </w:pPr>
            <w:r>
              <w:rPr>
                <w:rFonts w:hint="eastAsia" w:ascii="楷体" w:hAnsi="楷体" w:eastAsia="楷体"/>
                <w:bCs/>
              </w:rPr>
              <w:t>c.产品和服务质量符合要求的程度；</w:t>
            </w:r>
          </w:p>
          <w:p>
            <w:pPr>
              <w:rPr>
                <w:rFonts w:ascii="楷体" w:hAnsi="楷体" w:eastAsia="楷体"/>
                <w:bCs/>
              </w:rPr>
            </w:pPr>
            <w:r>
              <w:rPr>
                <w:rFonts w:hint="eastAsia" w:ascii="楷体" w:hAnsi="楷体" w:eastAsia="楷体"/>
                <w:bCs/>
              </w:rPr>
              <w:t>d.质量目标达到预定结果的程度。</w:t>
            </w:r>
          </w:p>
          <w:p>
            <w:pPr>
              <w:rPr>
                <w:rFonts w:ascii="楷体" w:hAnsi="楷体" w:eastAsia="楷体"/>
                <w:bCs/>
              </w:rPr>
            </w:pPr>
            <w:r>
              <w:rPr>
                <w:rFonts w:hint="eastAsia" w:ascii="楷体" w:hAnsi="楷体" w:eastAsia="楷体"/>
                <w:bCs/>
              </w:rPr>
              <w:t>质量管理体系有关的各种信息沟通，由管理者代表负责牵头，各部门通过每月的工作例会或总结，反映各种问题，必要时由管理者代表汇总报总经理，根据情况，总经理组织会议进行研究并解决有关问题。</w:t>
            </w:r>
          </w:p>
          <w:p>
            <w:pPr>
              <w:rPr>
                <w:rFonts w:hint="default" w:ascii="楷体" w:hAnsi="楷体" w:eastAsia="楷体" w:cs="Times New Roman"/>
                <w:bCs/>
                <w:szCs w:val="21"/>
                <w:lang w:val="en-US"/>
              </w:rPr>
            </w:pPr>
            <w:r>
              <w:rPr>
                <w:rFonts w:hint="eastAsia" w:ascii="楷体" w:hAnsi="楷体" w:eastAsia="楷体"/>
                <w:bCs/>
              </w:rPr>
              <w:t>-</w:t>
            </w:r>
            <w:r>
              <w:rPr>
                <w:rFonts w:ascii="楷体" w:hAnsi="楷体" w:eastAsia="楷体"/>
                <w:bCs/>
              </w:rPr>
              <w:t>-</w:t>
            </w:r>
            <w:r>
              <w:rPr>
                <w:rFonts w:hint="eastAsia" w:ascii="楷体" w:hAnsi="楷体" w:eastAsia="楷体"/>
                <w:bCs/>
              </w:rPr>
              <w:t>提供《信息沟通记录表》，包含日期、信息内容简介、记录人、信息处理结果、反馈时间、接受单位（人）信息。</w:t>
            </w:r>
          </w:p>
        </w:tc>
        <w:tc>
          <w:tcPr>
            <w:tcW w:w="993" w:type="dxa"/>
            <w:vAlign w:val="top"/>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Times New Roman"/>
                <w:bCs/>
                <w:szCs w:val="21"/>
              </w:rPr>
            </w:pPr>
            <w:r>
              <w:rPr>
                <w:rFonts w:hint="eastAsia" w:ascii="楷体" w:hAnsi="楷体" w:eastAsia="楷体"/>
              </w:rPr>
              <w:t>成文信息总则</w:t>
            </w:r>
          </w:p>
        </w:tc>
        <w:tc>
          <w:tcPr>
            <w:tcW w:w="960" w:type="dxa"/>
            <w:vAlign w:val="center"/>
          </w:tcPr>
          <w:p>
            <w:pPr>
              <w:rPr>
                <w:rFonts w:hint="eastAsia" w:ascii="楷体" w:hAnsi="楷体" w:eastAsia="楷体" w:cs="Times New Roman"/>
                <w:bCs/>
                <w:szCs w:val="21"/>
              </w:rPr>
            </w:pPr>
            <w:r>
              <w:rPr>
                <w:rFonts w:hint="eastAsia" w:ascii="楷体" w:hAnsi="楷体" w:eastAsia="楷体"/>
                <w:lang w:val="en-US" w:eastAsia="zh-CN"/>
              </w:rPr>
              <w:t>EO</w:t>
            </w:r>
            <w:r>
              <w:rPr>
                <w:rFonts w:hint="eastAsia" w:ascii="楷体" w:hAnsi="楷体" w:eastAsia="楷体"/>
              </w:rPr>
              <w:t>7.5.1</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策划了公司管理体系文件，包括以下层次：</w:t>
            </w:r>
          </w:p>
          <w:p>
            <w:pPr>
              <w:rPr>
                <w:rFonts w:ascii="楷体" w:hAnsi="楷体" w:eastAsia="楷体"/>
              </w:rPr>
            </w:pPr>
            <w:r>
              <w:rPr>
                <w:rFonts w:hint="eastAsia" w:ascii="楷体" w:hAnsi="楷体" w:eastAsia="楷体"/>
              </w:rPr>
              <w:t>1.手册ZJYD-EO-MC-2020版本号为</w:t>
            </w:r>
            <w:r>
              <w:rPr>
                <w:rFonts w:ascii="楷体" w:hAnsi="楷体" w:eastAsia="楷体"/>
              </w:rPr>
              <w:t>A/0</w:t>
            </w:r>
            <w:r>
              <w:rPr>
                <w:rFonts w:hint="eastAsia" w:ascii="楷体" w:hAnsi="楷体" w:eastAsia="楷体"/>
              </w:rPr>
              <w:t>，生效日期为</w:t>
            </w:r>
            <w:r>
              <w:rPr>
                <w:rFonts w:ascii="楷体" w:hAnsi="楷体" w:eastAsia="楷体"/>
              </w:rPr>
              <w:t>202</w:t>
            </w:r>
            <w:r>
              <w:rPr>
                <w:rFonts w:hint="eastAsia" w:ascii="楷体" w:hAnsi="楷体" w:eastAsia="楷体"/>
                <w:lang w:val="en-US" w:eastAsia="zh-CN"/>
              </w:rPr>
              <w:t>0</w:t>
            </w:r>
            <w:r>
              <w:rPr>
                <w:rFonts w:ascii="楷体" w:hAnsi="楷体" w:eastAsia="楷体"/>
              </w:rPr>
              <w:t>-</w:t>
            </w:r>
            <w:r>
              <w:rPr>
                <w:rFonts w:hint="eastAsia" w:ascii="楷体" w:hAnsi="楷体" w:eastAsia="楷体"/>
                <w:lang w:val="en-US" w:eastAsia="zh-CN"/>
              </w:rPr>
              <w:t>6</w:t>
            </w:r>
            <w:r>
              <w:rPr>
                <w:rFonts w:ascii="楷体" w:hAnsi="楷体" w:eastAsia="楷体"/>
              </w:rPr>
              <w:t>-1</w:t>
            </w:r>
            <w:r>
              <w:rPr>
                <w:rFonts w:hint="eastAsia" w:ascii="楷体" w:hAnsi="楷体" w:eastAsia="楷体"/>
              </w:rPr>
              <w:t>，由总经理批准（含方针、目标）；</w:t>
            </w:r>
          </w:p>
          <w:p>
            <w:pPr>
              <w:rPr>
                <w:rFonts w:ascii="楷体" w:hAnsi="楷体" w:eastAsia="楷体"/>
              </w:rPr>
            </w:pPr>
            <w:r>
              <w:rPr>
                <w:rFonts w:hint="eastAsia" w:ascii="楷体" w:hAnsi="楷体" w:eastAsia="楷体"/>
              </w:rPr>
              <w:t>2.程序文件汇编ZJYD-P-*-2020版本号为</w:t>
            </w:r>
            <w:r>
              <w:rPr>
                <w:rFonts w:ascii="楷体" w:hAnsi="楷体" w:eastAsia="楷体"/>
              </w:rPr>
              <w:t>A/0</w:t>
            </w:r>
            <w:r>
              <w:rPr>
                <w:rFonts w:hint="eastAsia" w:ascii="楷体" w:hAnsi="楷体" w:eastAsia="楷体"/>
              </w:rPr>
              <w:t>，生效日期为</w:t>
            </w:r>
            <w:r>
              <w:rPr>
                <w:rFonts w:ascii="楷体" w:hAnsi="楷体" w:eastAsia="楷体"/>
              </w:rPr>
              <w:t>202</w:t>
            </w:r>
            <w:r>
              <w:rPr>
                <w:rFonts w:hint="eastAsia" w:ascii="楷体" w:hAnsi="楷体" w:eastAsia="楷体"/>
                <w:lang w:val="en-US" w:eastAsia="zh-CN"/>
              </w:rPr>
              <w:t>0</w:t>
            </w:r>
            <w:r>
              <w:rPr>
                <w:rFonts w:ascii="楷体" w:hAnsi="楷体" w:eastAsia="楷体"/>
              </w:rPr>
              <w:t>-</w:t>
            </w:r>
            <w:r>
              <w:rPr>
                <w:rFonts w:hint="eastAsia" w:ascii="楷体" w:hAnsi="楷体" w:eastAsia="楷体"/>
                <w:lang w:val="en-US" w:eastAsia="zh-CN"/>
              </w:rPr>
              <w:t>6</w:t>
            </w:r>
            <w:r>
              <w:rPr>
                <w:rFonts w:ascii="楷体" w:hAnsi="楷体" w:eastAsia="楷体"/>
              </w:rPr>
              <w:t>-1</w:t>
            </w:r>
            <w:r>
              <w:rPr>
                <w:rFonts w:hint="eastAsia" w:ascii="楷体" w:hAnsi="楷体" w:eastAsia="楷体"/>
              </w:rPr>
              <w:t>，由办公室制定，管理者代表审核，总经理批准，含</w:t>
            </w:r>
            <w:r>
              <w:rPr>
                <w:rFonts w:ascii="楷体" w:hAnsi="楷体" w:eastAsia="楷体"/>
              </w:rPr>
              <w:t>1</w:t>
            </w:r>
            <w:r>
              <w:rPr>
                <w:rFonts w:hint="eastAsia" w:ascii="楷体" w:hAnsi="楷体" w:eastAsia="楷体"/>
                <w:lang w:val="en-US" w:eastAsia="zh-CN"/>
              </w:rPr>
              <w:t>8</w:t>
            </w:r>
            <w:r>
              <w:rPr>
                <w:rFonts w:hint="eastAsia" w:ascii="楷体" w:hAnsi="楷体" w:eastAsia="楷体"/>
              </w:rPr>
              <w:t>个文件，包括标准要求的程序；</w:t>
            </w:r>
          </w:p>
          <w:p>
            <w:pPr>
              <w:rPr>
                <w:rFonts w:hint="default" w:ascii="楷体" w:hAnsi="楷体" w:eastAsia="楷体"/>
                <w:lang w:val="en-US" w:eastAsia="zh-CN"/>
              </w:rPr>
            </w:pPr>
            <w:r>
              <w:rPr>
                <w:rFonts w:hint="eastAsia" w:ascii="楷体" w:hAnsi="楷体" w:eastAsia="楷体"/>
              </w:rPr>
              <w:t>3.三级文件</w:t>
            </w:r>
            <w:r>
              <w:rPr>
                <w:rFonts w:hint="eastAsia" w:ascii="楷体" w:hAnsi="楷体" w:eastAsia="楷体"/>
                <w:lang w:eastAsia="zh-CN"/>
              </w:rPr>
              <w:t>《安全管理制度》《</w:t>
            </w:r>
            <w:r>
              <w:rPr>
                <w:rFonts w:hint="eastAsia" w:ascii="楷体" w:hAnsi="楷体" w:eastAsia="楷体"/>
                <w:lang w:val="en-US" w:eastAsia="zh-CN"/>
              </w:rPr>
              <w:t>岗位职责说明》</w:t>
            </w:r>
          </w:p>
          <w:p>
            <w:pPr>
              <w:rPr>
                <w:rFonts w:ascii="楷体" w:hAnsi="楷体" w:eastAsia="楷体"/>
              </w:rPr>
            </w:pPr>
            <w:r>
              <w:rPr>
                <w:rFonts w:hint="eastAsia" w:ascii="楷体" w:hAnsi="楷体" w:eastAsia="楷体"/>
              </w:rPr>
              <w:t>4.体系运行所需要的记录；</w:t>
            </w:r>
          </w:p>
          <w:p>
            <w:pPr>
              <w:jc w:val="left"/>
              <w:rPr>
                <w:rFonts w:hint="default" w:ascii="楷体" w:hAnsi="楷体" w:eastAsia="楷体" w:cs="Times New Roman"/>
                <w:bCs/>
                <w:szCs w:val="21"/>
                <w:lang w:val="en-US"/>
              </w:rPr>
            </w:pPr>
            <w:r>
              <w:rPr>
                <w:rFonts w:ascii="楷体" w:hAnsi="楷体" w:eastAsia="楷体"/>
              </w:rPr>
              <w:t>5</w:t>
            </w:r>
            <w:r>
              <w:rPr>
                <w:rFonts w:hint="eastAsia" w:ascii="楷体" w:hAnsi="楷体" w:eastAsia="楷体"/>
              </w:rPr>
              <w:t>.对外来文件进行了识别收集，包括收集的相关法律法规、技术标准：产品质量法、计量法、民典法、标准化法、劳动法、 环境保护法、 GB/T</w:t>
            </w:r>
            <w:r>
              <w:rPr>
                <w:rFonts w:hint="eastAsia" w:ascii="楷体" w:hAnsi="楷体" w:eastAsia="楷体"/>
                <w:lang w:val="en-US" w:eastAsia="zh-CN"/>
              </w:rPr>
              <w:t>24</w:t>
            </w:r>
            <w:r>
              <w:rPr>
                <w:rFonts w:hint="eastAsia" w:ascii="楷体" w:hAnsi="楷体" w:eastAsia="楷体"/>
              </w:rPr>
              <w:t>001-2016、GB/T</w:t>
            </w:r>
            <w:r>
              <w:rPr>
                <w:rFonts w:hint="eastAsia" w:ascii="楷体" w:hAnsi="楷体" w:eastAsia="楷体"/>
                <w:lang w:val="en-US" w:eastAsia="zh-CN"/>
              </w:rPr>
              <w:t>45001</w:t>
            </w:r>
            <w:r>
              <w:rPr>
                <w:rFonts w:hint="eastAsia" w:ascii="楷体" w:hAnsi="楷体" w:eastAsia="楷体"/>
              </w:rPr>
              <w:t>-20</w:t>
            </w:r>
            <w:r>
              <w:rPr>
                <w:rFonts w:hint="eastAsia" w:ascii="楷体" w:hAnsi="楷体" w:eastAsia="楷体"/>
                <w:lang w:val="en-US" w:eastAsia="zh-CN"/>
              </w:rPr>
              <w:t>2</w:t>
            </w:r>
            <w:r>
              <w:rPr>
                <w:rFonts w:hint="eastAsia" w:ascii="楷体" w:hAnsi="楷体" w:eastAsia="楷体"/>
              </w:rPr>
              <w:t>0</w:t>
            </w:r>
            <w:r>
              <w:rPr>
                <w:rFonts w:ascii="楷体" w:hAnsi="楷体" w:eastAsia="楷体"/>
              </w:rPr>
              <w:t>一般公差 未注公差的线性和角度尺寸的公差，经常网上查阅、及时与顾客沟通确保最新版本</w:t>
            </w:r>
            <w:r>
              <w:rPr>
                <w:rFonts w:hint="eastAsia" w:ascii="楷体" w:hAnsi="楷体" w:eastAsia="楷体"/>
              </w:rPr>
              <w:t>。</w:t>
            </w:r>
          </w:p>
        </w:tc>
        <w:tc>
          <w:tcPr>
            <w:tcW w:w="993" w:type="dxa"/>
            <w:vAlign w:val="top"/>
          </w:tcPr>
          <w:p>
            <w:pPr>
              <w:rPr>
                <w:rFonts w:ascii="楷体" w:hAnsi="楷体" w:eastAsia="楷体"/>
              </w:rPr>
            </w:pPr>
            <w:r>
              <w:rPr>
                <w:rFonts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Times New Roman"/>
                <w:bCs/>
                <w:szCs w:val="21"/>
              </w:rPr>
            </w:pPr>
            <w:r>
              <w:rPr>
                <w:rFonts w:hint="eastAsia" w:ascii="楷体" w:hAnsi="楷体" w:eastAsia="楷体"/>
              </w:rPr>
              <w:t>创建和更新</w:t>
            </w:r>
          </w:p>
        </w:tc>
        <w:tc>
          <w:tcPr>
            <w:tcW w:w="960" w:type="dxa"/>
            <w:vAlign w:val="center"/>
          </w:tcPr>
          <w:p>
            <w:pPr>
              <w:rPr>
                <w:rFonts w:hint="eastAsia" w:ascii="楷体" w:hAnsi="楷体" w:eastAsia="楷体" w:cs="Times New Roman"/>
                <w:bCs/>
                <w:szCs w:val="21"/>
              </w:rPr>
            </w:pPr>
            <w:r>
              <w:rPr>
                <w:rFonts w:hint="eastAsia" w:ascii="楷体" w:hAnsi="楷体" w:eastAsia="楷体"/>
                <w:lang w:val="en-US" w:eastAsia="zh-CN"/>
              </w:rPr>
              <w:t>EO</w:t>
            </w:r>
            <w:r>
              <w:rPr>
                <w:rFonts w:hint="eastAsia" w:ascii="楷体" w:hAnsi="楷体" w:eastAsia="楷体"/>
              </w:rPr>
              <w:t>7.5.2</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1、查质量手册：内容包括：标题、编制人员、日期，文件编号等；</w:t>
            </w:r>
          </w:p>
          <w:p>
            <w:pPr>
              <w:rPr>
                <w:rFonts w:hint="default" w:ascii="楷体" w:hAnsi="楷体" w:eastAsia="楷体" w:cs="Times New Roman"/>
                <w:bCs/>
                <w:szCs w:val="21"/>
                <w:lang w:val="en-US"/>
              </w:rPr>
            </w:pPr>
            <w:r>
              <w:rPr>
                <w:rFonts w:hint="eastAsia" w:ascii="楷体" w:hAnsi="楷体" w:eastAsia="楷体"/>
              </w:rPr>
              <w:t>2、查程序文件：内容包括：标题、编制人员、日期，文件编号等。</w:t>
            </w:r>
          </w:p>
        </w:tc>
        <w:tc>
          <w:tcPr>
            <w:tcW w:w="993" w:type="dxa"/>
            <w:vAlign w:val="top"/>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Times New Roman"/>
                <w:bCs/>
                <w:szCs w:val="21"/>
              </w:rPr>
            </w:pPr>
            <w:r>
              <w:rPr>
                <w:rFonts w:hint="eastAsia" w:ascii="楷体" w:hAnsi="楷体" w:eastAsia="楷体"/>
              </w:rPr>
              <w:t>成文信息的控制</w:t>
            </w:r>
          </w:p>
        </w:tc>
        <w:tc>
          <w:tcPr>
            <w:tcW w:w="960" w:type="dxa"/>
            <w:vAlign w:val="center"/>
          </w:tcPr>
          <w:p>
            <w:pPr>
              <w:rPr>
                <w:rFonts w:hint="eastAsia" w:ascii="楷体" w:hAnsi="楷体" w:eastAsia="楷体" w:cs="Times New Roman"/>
                <w:bCs/>
                <w:szCs w:val="21"/>
              </w:rPr>
            </w:pPr>
            <w:r>
              <w:rPr>
                <w:rFonts w:hint="eastAsia" w:ascii="楷体" w:hAnsi="楷体" w:eastAsia="楷体"/>
                <w:lang w:val="en-US" w:eastAsia="zh-CN"/>
              </w:rPr>
              <w:t>EO</w:t>
            </w:r>
            <w:r>
              <w:rPr>
                <w:rFonts w:hint="eastAsia" w:ascii="楷体" w:hAnsi="楷体" w:eastAsia="楷体"/>
              </w:rPr>
              <w:t>7.5.3</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编制《文件控制程序》、《记录控制程序》，内容基本符合标准要求。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查有“受控文件清单”，包含有质量手册、风险和机遇应对控制程序等；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外来文件：对外来文件进行了识别收集，包括收集的相关法律法规、技术标准：产品质量法、计量法、民典法、标准化法、劳动法、 环境保护法、 GB/T</w:t>
            </w:r>
            <w:r>
              <w:rPr>
                <w:rFonts w:hint="eastAsia" w:ascii="楷体" w:hAnsi="楷体" w:eastAsia="楷体"/>
                <w:lang w:val="en-US" w:eastAsia="zh-CN"/>
              </w:rPr>
              <w:t>24</w:t>
            </w:r>
            <w:r>
              <w:rPr>
                <w:rFonts w:hint="eastAsia" w:ascii="楷体" w:hAnsi="楷体" w:eastAsia="楷体"/>
              </w:rPr>
              <w:t>001-2016、GB/T</w:t>
            </w:r>
            <w:r>
              <w:rPr>
                <w:rFonts w:hint="eastAsia" w:ascii="楷体" w:hAnsi="楷体" w:eastAsia="楷体"/>
                <w:lang w:val="en-US" w:eastAsia="zh-CN"/>
              </w:rPr>
              <w:t>45001</w:t>
            </w:r>
            <w:r>
              <w:rPr>
                <w:rFonts w:hint="eastAsia" w:ascii="楷体" w:hAnsi="楷体" w:eastAsia="楷体"/>
              </w:rPr>
              <w:t>-20</w:t>
            </w:r>
            <w:r>
              <w:rPr>
                <w:rFonts w:hint="eastAsia" w:ascii="楷体" w:hAnsi="楷体" w:eastAsia="楷体"/>
                <w:lang w:val="en-US" w:eastAsia="zh-CN"/>
              </w:rPr>
              <w:t>2</w:t>
            </w:r>
            <w:r>
              <w:rPr>
                <w:rFonts w:hint="eastAsia" w:ascii="楷体" w:hAnsi="楷体" w:eastAsia="楷体"/>
              </w:rPr>
              <w:t>0一般公差 未注公差的线性和角度尺寸的公差，经常网上查阅、及时与顾客沟通确保最新版本。</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提供“记录清单”，显示了记录名称、编号、保存期、使用部门等内容。</w:t>
            </w:r>
          </w:p>
          <w:p>
            <w:pPr>
              <w:rPr>
                <w:rFonts w:ascii="楷体" w:hAnsi="楷体" w:eastAsia="楷体"/>
              </w:rPr>
            </w:pPr>
            <w:r>
              <w:rPr>
                <w:rFonts w:hint="eastAsia" w:ascii="楷体" w:hAnsi="楷体" w:eastAsia="楷体"/>
                <w:lang w:val="zh-CN"/>
              </w:rPr>
              <w:t>--抽查：</w:t>
            </w:r>
            <w:r>
              <w:rPr>
                <w:rFonts w:hint="eastAsia" w:ascii="楷体" w:hAnsi="楷体" w:eastAsia="楷体"/>
              </w:rPr>
              <w:t>《年度培训计划》，其成文信息标识清晰，填写规范、齐全、清晰。</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各成文信息由各部门负责保存，以便查阅，办公室每季度对各部门文件保管情况进行检查，目前尚无文件销毁的记录。</w:t>
            </w:r>
          </w:p>
          <w:p>
            <w:pPr>
              <w:rPr>
                <w:rFonts w:hint="default" w:ascii="楷体" w:hAnsi="楷体" w:eastAsia="楷体" w:cs="Times New Roman"/>
                <w:bCs/>
                <w:szCs w:val="21"/>
                <w:lang w:val="en-US"/>
              </w:rPr>
            </w:pPr>
            <w:r>
              <w:rPr>
                <w:rFonts w:hint="eastAsia" w:ascii="楷体" w:hAnsi="楷体" w:eastAsia="楷体"/>
              </w:rPr>
              <w:sym w:font="Wingdings 2" w:char="F098"/>
            </w:r>
            <w:r>
              <w:rPr>
                <w:rFonts w:hint="eastAsia" w:ascii="楷体" w:hAnsi="楷体" w:eastAsia="楷体"/>
              </w:rPr>
              <w:t>成文信息管理目前基本满足要求</w:t>
            </w:r>
          </w:p>
        </w:tc>
        <w:tc>
          <w:tcPr>
            <w:tcW w:w="993" w:type="dxa"/>
            <w:vAlign w:val="top"/>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本部门应执行的运行控制文件：《环境影响运行控制程序》</w:t>
            </w:r>
            <w:r>
              <w:rPr>
                <w:rFonts w:hint="eastAsia" w:ascii="楷体" w:hAnsi="楷体" w:eastAsia="楷体" w:cs="Times New Roman"/>
                <w:bCs/>
                <w:szCs w:val="21"/>
                <w:lang w:val="en-GB"/>
              </w:rPr>
              <w:t>、《风险和机遇的应对控制程序》</w:t>
            </w:r>
            <w:r>
              <w:rPr>
                <w:rFonts w:hint="eastAsia" w:ascii="楷体" w:hAnsi="楷体" w:eastAsia="楷体" w:cs="Times New Roman"/>
                <w:bCs/>
                <w:szCs w:val="21"/>
                <w:lang w:val="en-GB" w:eastAsia="zh-CN"/>
              </w:rPr>
              <w:t>、</w:t>
            </w:r>
            <w:r>
              <w:rPr>
                <w:rFonts w:hint="eastAsia" w:ascii="楷体" w:hAnsi="楷体" w:eastAsia="楷体" w:cs="Times New Roman"/>
                <w:bCs/>
                <w:szCs w:val="21"/>
                <w:lang w:val="en-GB"/>
              </w:rPr>
              <w:t>《环境因素识别与评价管理程序》、《危险源辨识与风险评价控制措施管理程序》</w:t>
            </w:r>
            <w:r>
              <w:rPr>
                <w:rFonts w:hint="eastAsia" w:ascii="楷体" w:hAnsi="楷体" w:eastAsia="楷体" w:cs="Times New Roman"/>
                <w:bCs/>
                <w:szCs w:val="21"/>
              </w:rPr>
              <w:t>、《职业健康安全运行控制程序》</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lang w:val="en-GB" w:eastAsia="zh-CN"/>
              </w:rPr>
              <w:drawing>
                <wp:anchor distT="0" distB="0" distL="114300" distR="114300" simplePos="0" relativeHeight="251660288" behindDoc="0" locked="0" layoutInCell="1" allowOverlap="1">
                  <wp:simplePos x="0" y="0"/>
                  <wp:positionH relativeFrom="column">
                    <wp:posOffset>2781300</wp:posOffset>
                  </wp:positionH>
                  <wp:positionV relativeFrom="paragraph">
                    <wp:posOffset>317500</wp:posOffset>
                  </wp:positionV>
                  <wp:extent cx="3883025" cy="1962150"/>
                  <wp:effectExtent l="0" t="0" r="3175" b="6350"/>
                  <wp:wrapSquare wrapText="bothSides"/>
                  <wp:docPr id="7" name="图片 7" descr="e81cba6a9947af52618552740e35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81cba6a9947af52618552740e356b6"/>
                          <pic:cNvPicPr>
                            <a:picLocks noChangeAspect="1"/>
                          </pic:cNvPicPr>
                        </pic:nvPicPr>
                        <pic:blipFill>
                          <a:blip r:embed="rId6"/>
                          <a:srcRect t="14717" r="10010" b="18432"/>
                          <a:stretch>
                            <a:fillRect/>
                          </a:stretch>
                        </pic:blipFill>
                        <pic:spPr>
                          <a:xfrm>
                            <a:off x="0" y="0"/>
                            <a:ext cx="3883025" cy="1962150"/>
                          </a:xfrm>
                          <a:prstGeom prst="rect">
                            <a:avLst/>
                          </a:prstGeom>
                        </pic:spPr>
                      </pic:pic>
                    </a:graphicData>
                  </a:graphic>
                </wp:anchor>
              </w:drawing>
            </w: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color w:val="auto"/>
                <w:szCs w:val="21"/>
                <w:lang w:val="en-US" w:eastAsia="zh-CN"/>
              </w:rPr>
              <w:t>劳保</w:t>
            </w:r>
            <w:r>
              <w:rPr>
                <w:rFonts w:hint="eastAsia" w:ascii="楷体" w:hAnsi="楷体" w:eastAsia="楷体" w:cs="Times New Roman"/>
                <w:bCs/>
                <w:color w:val="auto"/>
                <w:szCs w:val="21"/>
                <w:lang w:val="en-GB"/>
              </w:rPr>
              <w:t>用品按要求由</w:t>
            </w:r>
            <w:r>
              <w:rPr>
                <w:rFonts w:hint="eastAsia" w:ascii="楷体" w:hAnsi="楷体" w:eastAsia="楷体" w:cs="Times New Roman"/>
                <w:bCs/>
                <w:color w:val="auto"/>
                <w:szCs w:val="21"/>
                <w:lang w:eastAsia="zh-CN"/>
              </w:rPr>
              <w:t>办公室</w:t>
            </w:r>
            <w:r>
              <w:rPr>
                <w:rFonts w:hint="eastAsia" w:ascii="楷体" w:hAnsi="楷体" w:eastAsia="楷体" w:cs="Times New Roman"/>
                <w:bCs/>
                <w:color w:val="auto"/>
                <w:szCs w:val="21"/>
                <w:lang w:val="en-GB"/>
              </w:rPr>
              <w:t>负责发放，作好记录；</w:t>
            </w:r>
            <w:r>
              <w:rPr>
                <w:rFonts w:hint="eastAsia" w:ascii="楷体" w:hAnsi="楷体" w:eastAsia="楷体" w:cs="Times New Roman"/>
                <w:bCs/>
                <w:color w:val="auto"/>
                <w:szCs w:val="21"/>
              </w:rPr>
              <w:t>主要劳保用品为：线手套</w:t>
            </w:r>
            <w:r>
              <w:rPr>
                <w:rFonts w:hint="eastAsia" w:ascii="楷体" w:hAnsi="楷体" w:eastAsia="楷体" w:cs="Times New Roman"/>
                <w:bCs/>
                <w:color w:val="auto"/>
                <w:szCs w:val="21"/>
                <w:lang w:eastAsia="zh-CN"/>
              </w:rPr>
              <w:t>、</w:t>
            </w:r>
            <w:r>
              <w:rPr>
                <w:rFonts w:hint="eastAsia" w:ascii="楷体" w:hAnsi="楷体" w:eastAsia="楷体" w:cs="Times New Roman"/>
                <w:bCs/>
                <w:color w:val="auto"/>
                <w:szCs w:val="21"/>
              </w:rPr>
              <w:t>口罩</w:t>
            </w:r>
            <w:r>
              <w:rPr>
                <w:rFonts w:hint="eastAsia" w:ascii="楷体" w:hAnsi="楷体" w:eastAsia="楷体" w:cs="Times New Roman"/>
                <w:bCs/>
                <w:color w:val="auto"/>
                <w:szCs w:val="21"/>
                <w:lang w:eastAsia="zh-CN"/>
              </w:rPr>
              <w:t>、</w:t>
            </w:r>
            <w:r>
              <w:rPr>
                <w:rFonts w:hint="eastAsia" w:ascii="楷体" w:hAnsi="楷体" w:eastAsia="楷体" w:cs="Times New Roman"/>
                <w:bCs/>
                <w:color w:val="auto"/>
                <w:szCs w:val="21"/>
                <w:lang w:val="en-US" w:eastAsia="zh-CN"/>
              </w:rPr>
              <w:t>耳塞</w:t>
            </w:r>
            <w:r>
              <w:rPr>
                <w:rFonts w:hint="eastAsia" w:ascii="楷体" w:hAnsi="楷体" w:eastAsia="楷体" w:cs="Times New Roman"/>
                <w:bCs/>
                <w:color w:val="auto"/>
                <w:szCs w:val="21"/>
              </w:rPr>
              <w:t>、创口贴 、纱布、线手套、胶手套，记录了发放时间、领用人等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商户、固体废弃物处理等。提供了“相关方环境及职业健康安全告知书”</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val="en-GB"/>
              </w:rPr>
            </w:pPr>
            <w:r>
              <w:drawing>
                <wp:anchor distT="0" distB="0" distL="114300" distR="114300" simplePos="0" relativeHeight="251659264" behindDoc="0" locked="0" layoutInCell="1" allowOverlap="1">
                  <wp:simplePos x="0" y="0"/>
                  <wp:positionH relativeFrom="column">
                    <wp:posOffset>5085715</wp:posOffset>
                  </wp:positionH>
                  <wp:positionV relativeFrom="paragraph">
                    <wp:posOffset>35560</wp:posOffset>
                  </wp:positionV>
                  <wp:extent cx="1536700" cy="1906270"/>
                  <wp:effectExtent l="0" t="0" r="0" b="1143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1536700" cy="1906270"/>
                          </a:xfrm>
                          <a:prstGeom prst="rect">
                            <a:avLst/>
                          </a:prstGeom>
                          <a:noFill/>
                          <a:ln>
                            <a:noFill/>
                          </a:ln>
                        </pic:spPr>
                      </pic:pic>
                    </a:graphicData>
                  </a:graphic>
                </wp:anchor>
              </w:drawing>
            </w: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default"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color w:val="auto"/>
                <w:szCs w:val="21"/>
                <w:lang w:eastAsia="zh-CN"/>
              </w:rPr>
              <w:t>办公室</w:t>
            </w:r>
            <w:r>
              <w:rPr>
                <w:rFonts w:hint="eastAsia" w:ascii="楷体" w:hAnsi="楷体" w:eastAsia="楷体" w:cs="Times New Roman"/>
                <w:bCs/>
                <w:color w:val="auto"/>
                <w:szCs w:val="21"/>
                <w:lang w:val="en-GB"/>
              </w:rPr>
              <w:t>每天巡视现场，对环境安全事宜进行检查，发现问题当即纠正；每月进行检查统计分析</w:t>
            </w:r>
            <w:r>
              <w:rPr>
                <w:rFonts w:hint="eastAsia" w:ascii="楷体" w:hAnsi="楷体" w:eastAsia="楷体" w:cs="Times New Roman"/>
                <w:bCs/>
                <w:color w:val="auto"/>
                <w:szCs w:val="21"/>
                <w:lang w:val="en-GB" w:eastAsia="zh-CN"/>
              </w:rPr>
              <w:t>《生产现场安全、环境检查表</w:t>
            </w:r>
            <w:r>
              <w:rPr>
                <w:rFonts w:hint="eastAsia" w:ascii="楷体" w:hAnsi="楷体" w:eastAsia="楷体" w:cs="Times New Roman"/>
                <w:bCs/>
                <w:color w:val="auto"/>
                <w:szCs w:val="21"/>
                <w:lang w:val="en-US" w:eastAsia="zh-CN"/>
              </w:rPr>
              <w:t>》、《消防器材检查记录》《体系运行检查表》</w:t>
            </w:r>
          </w:p>
          <w:p>
            <w:pPr>
              <w:rPr>
                <w:rFonts w:hint="eastAsia" w:ascii="楷体" w:hAnsi="楷体" w:eastAsia="楷体" w:cs="Times New Roman"/>
                <w:bCs/>
                <w:szCs w:val="21"/>
                <w:lang w:eastAsia="zh-CN"/>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办公室</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p>
            <w:pPr>
              <w:rPr>
                <w:rFonts w:hint="eastAsia" w:ascii="楷体" w:hAnsi="楷体" w:eastAsia="楷体" w:cs="Times New Roman"/>
                <w:bCs/>
                <w:szCs w:val="21"/>
              </w:rPr>
            </w:pPr>
          </w:p>
          <w:p>
            <w:pPr>
              <w:rPr>
                <w:rFonts w:hint="eastAsia"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《职业病危害因素检测报告》编号：HKPZJ202445，检测日期：2021年11月5日，监测机构：浙江杭康检测技术有限公司</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《环境检测报告》编号：苏环 字（2021）第G0271号，检定日期：2021年11月29日，检测机构：江苏苏环工程质量检测有限公司</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《职业健康检查报告书》编号：（杭职防院）职检字第（2022-0877）号，检测日期：2022年3月9号，检测机构：杭州市职业病防治院</w:t>
            </w:r>
          </w:p>
          <w:p>
            <w:pPr>
              <w:rPr>
                <w:rFonts w:hint="eastAsia"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汪征军，体检编号：T247440003，种类：废气，体检日期：2022.2.26，工种：喷漆，体检结果：合格</w:t>
            </w:r>
          </w:p>
          <w:p>
            <w:pPr>
              <w:rPr>
                <w:rFonts w:hint="eastAsia"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凌健儿，体检编号：T247440007，种类：噪声、粉尘，体检日期：2022.2.26，工种：下料，体检结果：合格</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关于浙江远大空分设备有限公司年生产压缩机、压缩空气净化设备、制氧及制氮装置、集中控制装置、工业管道阀门、气动元件100套迁建项目环境影响报告表的批复》，日期：2010年6月18日，编号：富环开发[2010]391号</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关于浙江远大空分设备有限公司年生产压缩机、压缩空气净化设备、制氧及制氮装置、集中控制装置、工业管道阀门、气动元件100套迁建项目固体废物污染防治设施竣工环境保护验收意见的复函》，日期：2020年3月30日，编号：富环许验[2020]7号</w:t>
            </w:r>
          </w:p>
          <w:p>
            <w:pPr>
              <w:rPr>
                <w:rFonts w:hint="default" w:ascii="楷体" w:hAnsi="楷体" w:eastAsia="楷体" w:cs="Times New Roman"/>
                <w:bCs/>
                <w:szCs w:val="21"/>
                <w:lang w:val="en-US"/>
              </w:rPr>
            </w:pP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1、查策划有《应急准备和响应控制程序》，编制有《应急预案》。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提供有“消防灭火演练”。</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——演练时间：时间2022年4月30日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hint="eastAsia" w:ascii="楷体" w:hAnsi="楷体" w:eastAsia="楷体"/>
                <w:bCs/>
                <w:lang w:eastAsia="zh-CN"/>
              </w:rPr>
            </w:pPr>
            <w:r>
              <w:rPr>
                <w:rFonts w:hint="eastAsia" w:ascii="楷体" w:hAnsi="楷体" w:eastAsia="楷体"/>
                <w:bCs/>
                <w:lang w:val="en-US" w:eastAsia="zh-CN"/>
              </w:rPr>
              <w:t>EO</w:t>
            </w:r>
            <w:r>
              <w:rPr>
                <w:rFonts w:hint="eastAsia" w:ascii="楷体" w:hAnsi="楷体" w:eastAsia="楷体"/>
                <w:bCs/>
              </w:rPr>
              <w:t>9.1.</w:t>
            </w:r>
            <w:r>
              <w:rPr>
                <w:rFonts w:hint="eastAsia" w:ascii="楷体" w:hAnsi="楷体" w:eastAsia="楷体"/>
                <w:bCs/>
                <w:lang w:val="en-US" w:eastAsia="zh-CN"/>
              </w:rPr>
              <w:t>1</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建立《绩效测量和监视控制程序》《改进控制程序》对信息进行分析处理。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lang w:val="en-US" w:eastAsia="zh-CN"/>
              </w:rPr>
              <w:t>1</w:t>
            </w:r>
            <w:r>
              <w:rPr>
                <w:rFonts w:hint="eastAsia" w:ascii="楷体" w:hAnsi="楷体" w:eastAsia="楷体"/>
              </w:rPr>
              <w:t>、查目标统计表，均满足策划的要求。</w:t>
            </w:r>
          </w:p>
          <w:p>
            <w:pPr>
              <w:rPr>
                <w:rFonts w:ascii="楷体" w:hAnsi="楷体" w:eastAsia="楷体"/>
              </w:rPr>
            </w:pPr>
            <w:r>
              <w:rPr>
                <w:rFonts w:hint="eastAsia" w:ascii="楷体" w:hAnsi="楷体" w:eastAsia="楷体"/>
                <w:lang w:val="en-US" w:eastAsia="zh-CN"/>
              </w:rPr>
              <w:t>2</w:t>
            </w:r>
            <w:r>
              <w:rPr>
                <w:rFonts w:hint="eastAsia" w:ascii="楷体" w:hAnsi="楷体" w:eastAsia="楷体"/>
              </w:rPr>
              <w:t>、针对识别出的风险和机遇采取了相应的措施；优选供应商，拓展销售渠道，此项措施正在组织实施中。</w:t>
            </w:r>
          </w:p>
          <w:p>
            <w:pPr>
              <w:rPr>
                <w:rFonts w:hint="eastAsia" w:ascii="楷体" w:hAnsi="楷体" w:eastAsia="楷体"/>
              </w:rPr>
            </w:pPr>
            <w:r>
              <w:rPr>
                <w:rFonts w:hint="eastAsia" w:ascii="楷体" w:hAnsi="楷体" w:eastAsia="楷体"/>
                <w:lang w:val="en-US" w:eastAsia="zh-CN"/>
              </w:rPr>
              <w:t>3</w:t>
            </w:r>
            <w:r>
              <w:rPr>
                <w:rFonts w:hint="eastAsia" w:ascii="楷体" w:hAnsi="楷体" w:eastAsia="楷体"/>
              </w:rPr>
              <w:t>、管理体系改进的需求：通过体系运行，产品的符合性、内审、管评的有效性及企业持续改进，不断完善各项软硬件环境，提高产品质量，满足客户需求</w:t>
            </w:r>
          </w:p>
          <w:p>
            <w:pPr>
              <w:rPr>
                <w:rFonts w:hint="eastAsia" w:ascii="楷体" w:hAnsi="楷体" w:eastAsia="楷体" w:cs="Times New Roman"/>
                <w:bCs/>
                <w:color w:val="auto"/>
                <w:szCs w:val="21"/>
                <w:lang w:val="en-US" w:eastAsia="zh-CN"/>
              </w:rPr>
            </w:pPr>
            <w:r>
              <w:rPr>
                <w:rFonts w:hint="eastAsia" w:ascii="楷体" w:hAnsi="楷体" w:eastAsia="楷体" w:cs="Times New Roman"/>
                <w:bCs/>
                <w:szCs w:val="21"/>
                <w:lang w:val="en-US" w:eastAsia="zh-CN"/>
              </w:rPr>
              <w:t>4、</w:t>
            </w:r>
            <w:r>
              <w:rPr>
                <w:rFonts w:hint="eastAsia" w:ascii="楷体" w:hAnsi="楷体" w:eastAsia="楷体" w:cs="Times New Roman"/>
                <w:bCs/>
                <w:color w:val="auto"/>
                <w:szCs w:val="21"/>
                <w:lang w:eastAsia="zh-CN"/>
              </w:rPr>
              <w:t>办公室</w:t>
            </w:r>
            <w:r>
              <w:rPr>
                <w:rFonts w:hint="eastAsia" w:ascii="楷体" w:hAnsi="楷体" w:eastAsia="楷体" w:cs="Times New Roman"/>
                <w:bCs/>
                <w:color w:val="auto"/>
                <w:szCs w:val="21"/>
                <w:lang w:val="en-GB"/>
              </w:rPr>
              <w:t>每天巡视现场，对环境安全事宜进行检查，发现问题当即纠正；每月进行检查统计分析</w:t>
            </w:r>
            <w:r>
              <w:rPr>
                <w:rFonts w:hint="eastAsia" w:ascii="楷体" w:hAnsi="楷体" w:eastAsia="楷体" w:cs="Times New Roman"/>
                <w:bCs/>
                <w:color w:val="auto"/>
                <w:szCs w:val="21"/>
                <w:lang w:val="en-GB" w:eastAsia="zh-CN"/>
              </w:rPr>
              <w:t>《生产现场安全、环境检查表</w:t>
            </w:r>
            <w:r>
              <w:rPr>
                <w:rFonts w:hint="eastAsia" w:ascii="楷体" w:hAnsi="楷体" w:eastAsia="楷体" w:cs="Times New Roman"/>
                <w:bCs/>
                <w:color w:val="auto"/>
                <w:szCs w:val="21"/>
                <w:lang w:val="en-US" w:eastAsia="zh-CN"/>
              </w:rPr>
              <w:t>》、《消防器材检查记录》《体系运行检查表》</w:t>
            </w:r>
          </w:p>
          <w:p>
            <w:pPr>
              <w:rPr>
                <w:rFonts w:hint="eastAsia" w:ascii="楷体" w:hAnsi="楷体" w:eastAsia="楷体" w:cs="Times New Roman"/>
                <w:bCs/>
                <w:szCs w:val="21"/>
                <w:lang w:val="en-US" w:eastAsia="zh-CN"/>
              </w:rPr>
            </w:pPr>
            <w:r>
              <w:rPr>
                <w:rFonts w:hint="eastAsia" w:ascii="楷体" w:hAnsi="楷体" w:eastAsia="楷体"/>
              </w:rPr>
              <w:sym w:font="Wingdings 2" w:char="F098"/>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《职业病危害因素检测报告》编号：HKPZJ202445，检测日期：2021年11月5日，监测机构：浙江杭康检测技术有限公司</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《环境检测报告》编号：苏环 字（2021）第G0271号，检定日期：2021年11月29日，检测机构：江苏苏环工程质量检测有限公司</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《职业健康检查报告书》编号：（杭职防院）职检字第（2022-0877）号，检测日期：2022年3月9号，检测机构：杭州市职业病防治院</w:t>
            </w:r>
          </w:p>
          <w:p>
            <w:pPr>
              <w:rPr>
                <w:rFonts w:hint="eastAsia"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汪征军，体检编号：T247440003，种类：废气，体检日期：2022.2.26，工种：喷漆，体检结果：合格</w:t>
            </w:r>
          </w:p>
          <w:p>
            <w:pPr>
              <w:rPr>
                <w:rFonts w:hint="eastAsia"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凌健儿，体检编号：T247440007，种类：噪声、粉尘，体检日期：2022.2.26，工种：下料，体检结果：合格</w:t>
            </w:r>
          </w:p>
          <w:p>
            <w:pPr>
              <w:rPr>
                <w:rFonts w:hint="default"/>
                <w:color w:val="FF0000"/>
                <w:lang w:val="en-US" w:eastAsia="zh-CN"/>
              </w:rPr>
            </w:pP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关于浙江远大空分设备有限公司年生产压缩机、压缩空气净化设备、制氧及制氮装置、集中控制装置、工业管道阀门、气动元件100套迁建项目环境影响报告表的批复》，日期：2010年6月18日，编号：富环开发[2010]391号</w:t>
            </w:r>
          </w:p>
          <w:p>
            <w:pPr>
              <w:rPr>
                <w:rFonts w:hint="default" w:ascii="楷体" w:hAnsi="楷体" w:eastAsia="楷体" w:cs="Times New Roman"/>
                <w:bCs/>
                <w:color w:val="auto"/>
                <w:szCs w:val="21"/>
                <w:lang w:val="en-US" w:eastAsia="zh-CN"/>
              </w:rPr>
            </w:pPr>
            <w:r>
              <w:rPr>
                <w:rFonts w:hint="eastAsia" w:ascii="楷体" w:hAnsi="楷体" w:eastAsia="楷体" w:cs="Times New Roman"/>
                <w:bCs/>
                <w:color w:val="auto"/>
                <w:szCs w:val="21"/>
                <w:lang w:val="en-US" w:eastAsia="zh-CN"/>
              </w:rPr>
              <w:t>《关于浙江远大空分设备有限公司年生产压缩机、压缩空气净化设备、制氧及制氮装置、集中控制装置、工业管道阀门、气动元件100套迁建项目固体废物污染防治设施竣工环境保护验收意见的复函》，日期：2020年3月30日，编号：富环许验[2020]7号</w:t>
            </w:r>
          </w:p>
          <w:p>
            <w:pPr>
              <w:rPr>
                <w:rFonts w:ascii="楷体" w:hAnsi="楷体" w:eastAsia="楷体"/>
              </w:rPr>
            </w:pPr>
          </w:p>
          <w:p>
            <w:pPr>
              <w:rPr>
                <w:rFonts w:ascii="楷体" w:hAnsi="楷体" w:eastAsia="楷体"/>
                <w:bCs/>
              </w:rPr>
            </w:pPr>
            <w:r>
              <w:rPr>
                <w:rFonts w:hint="eastAsia" w:ascii="楷体" w:hAnsi="楷体" w:eastAsia="楷体"/>
              </w:rPr>
              <w:sym w:font="Wingdings 2" w:char="F098"/>
            </w:r>
            <w:r>
              <w:rPr>
                <w:rFonts w:hint="eastAsia" w:ascii="楷体" w:hAnsi="楷体" w:eastAsia="楷体"/>
              </w:rPr>
              <w:t>综上所述，基本符合标准要求。</w:t>
            </w:r>
            <w:r>
              <w:rPr>
                <w:rFonts w:ascii="楷体" w:hAnsi="楷体" w:eastAsia="楷体"/>
              </w:rPr>
              <w:t xml:space="preserve"> </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楷体" w:hAnsi="楷体" w:eastAsia="楷体"/>
              </w:rPr>
            </w:pPr>
            <w:r>
              <w:rPr>
                <w:rFonts w:hint="eastAsia" w:ascii="楷体" w:hAnsi="楷体" w:eastAsia="楷体"/>
                <w:bCs/>
              </w:rPr>
              <w:t>内部审核</w:t>
            </w:r>
          </w:p>
        </w:tc>
        <w:tc>
          <w:tcPr>
            <w:tcW w:w="960" w:type="dxa"/>
          </w:tcPr>
          <w:p>
            <w:pPr>
              <w:rPr>
                <w:rFonts w:ascii="楷体" w:hAnsi="楷体" w:eastAsia="楷体"/>
                <w:b/>
                <w:bCs/>
              </w:rPr>
            </w:pPr>
            <w:bookmarkStart w:id="1" w:name="_GoBack"/>
            <w:bookmarkEnd w:id="1"/>
            <w:r>
              <w:rPr>
                <w:rFonts w:hint="eastAsia" w:ascii="楷体" w:hAnsi="楷体" w:eastAsia="楷体"/>
                <w:b/>
                <w:bCs/>
                <w:lang w:val="en-US" w:eastAsia="zh-CN"/>
              </w:rPr>
              <w:t>EO</w:t>
            </w:r>
            <w:r>
              <w:rPr>
                <w:rFonts w:hint="eastAsia" w:ascii="楷体" w:hAnsi="楷体" w:eastAsia="楷体"/>
                <w:b/>
                <w:bCs/>
              </w:rPr>
              <w:t>9.2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内部审核控制程序</w:t>
            </w:r>
            <w:r>
              <w:rPr>
                <w:rFonts w:hint="eastAsia" w:ascii="楷体" w:hAnsi="楷体" w:eastAsia="楷体"/>
              </w:rPr>
              <w:t>》，基本符合标准要求。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9</w:t>
            </w:r>
            <w:r>
              <w:rPr>
                <w:rFonts w:hint="eastAsia" w:ascii="楷体" w:hAnsi="楷体" w:eastAsia="楷体"/>
              </w:rPr>
              <w:t>月</w:t>
            </w:r>
            <w:r>
              <w:rPr>
                <w:rFonts w:hint="eastAsia" w:ascii="楷体" w:hAnsi="楷体" w:eastAsia="楷体"/>
                <w:lang w:val="en-US" w:eastAsia="zh-CN"/>
              </w:rPr>
              <w:t>7-8</w:t>
            </w:r>
            <w:r>
              <w:rPr>
                <w:rFonts w:hint="eastAsia" w:ascii="楷体" w:hAnsi="楷体" w:eastAsia="楷体"/>
              </w:rPr>
              <w:t>日开展了管理体系内部审核活动，并提供有以下内审的资料：</w:t>
            </w:r>
          </w:p>
          <w:p>
            <w:pPr>
              <w:rPr>
                <w:rFonts w:ascii="楷体" w:hAnsi="楷体" w:eastAsia="楷体"/>
              </w:rPr>
            </w:pPr>
            <w:r>
              <w:rPr>
                <w:rFonts w:hint="eastAsia" w:ascii="楷体" w:hAnsi="楷体" w:eastAsia="楷体"/>
              </w:rPr>
              <w:t>——《审核实施计划》，批准：</w:t>
            </w:r>
            <w:r>
              <w:rPr>
                <w:rFonts w:hint="eastAsia" w:ascii="楷体" w:hAnsi="楷体" w:eastAsia="楷体"/>
                <w:lang w:eastAsia="zh-CN"/>
              </w:rPr>
              <w:t>金登伟</w:t>
            </w:r>
            <w:r>
              <w:rPr>
                <w:rFonts w:hint="eastAsia" w:ascii="楷体" w:hAnsi="楷体" w:eastAsia="楷体"/>
              </w:rPr>
              <w:t>。计划中规定审核的目的、依据、范围、时间、审核安排；审核组成员。</w:t>
            </w:r>
          </w:p>
          <w:p>
            <w:pPr>
              <w:rPr>
                <w:rFonts w:ascii="楷体" w:hAnsi="楷体" w:eastAsia="楷体"/>
              </w:rPr>
            </w:pPr>
            <w:r>
              <w:rPr>
                <w:rFonts w:hint="eastAsia" w:ascii="楷体" w:hAnsi="楷体" w:eastAsia="楷体"/>
              </w:rPr>
              <w:t>计划中没有漏标准条款、没有遗漏体系覆盖的部门和场所，内审员没有审核自己的工作。</w:t>
            </w:r>
          </w:p>
          <w:p>
            <w:pPr>
              <w:rPr>
                <w:rFonts w:ascii="楷体" w:hAnsi="楷体" w:eastAsia="楷体"/>
              </w:rPr>
            </w:pP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ascii="楷体" w:hAnsi="楷体" w:eastAsia="楷体"/>
              </w:rPr>
            </w:pPr>
            <w:r>
              <w:rPr>
                <w:rFonts w:hint="eastAsia" w:ascii="楷体" w:hAnsi="楷体" w:eastAsia="楷体"/>
              </w:rPr>
              <w:t>——本次内审发现</w:t>
            </w:r>
            <w:r>
              <w:rPr>
                <w:rFonts w:hint="eastAsia" w:ascii="楷体" w:hAnsi="楷体" w:eastAsia="楷体"/>
                <w:lang w:val="en-US" w:eastAsia="zh-CN"/>
              </w:rPr>
              <w:t>2</w:t>
            </w:r>
            <w:r>
              <w:rPr>
                <w:rFonts w:hint="eastAsia" w:ascii="楷体" w:hAnsi="楷体" w:eastAsia="楷体"/>
              </w:rPr>
              <w:t>项不合格，在</w:t>
            </w:r>
            <w:r>
              <w:rPr>
                <w:rFonts w:hint="eastAsia" w:ascii="楷体" w:hAnsi="楷体" w:eastAsia="楷体"/>
                <w:lang w:val="en-US" w:eastAsia="zh-CN"/>
              </w:rPr>
              <w:t>办公室7.2</w:t>
            </w:r>
            <w:r>
              <w:rPr>
                <w:rFonts w:hint="eastAsia" w:ascii="楷体" w:hAnsi="楷体" w:eastAsia="楷体"/>
              </w:rPr>
              <w:t>条款，为一般不符合项</w:t>
            </w:r>
            <w:r>
              <w:rPr>
                <w:rFonts w:hint="eastAsia" w:ascii="楷体" w:hAnsi="楷体" w:eastAsia="楷体"/>
                <w:lang w:eastAsia="zh-CN"/>
              </w:rPr>
              <w:t>：</w:t>
            </w:r>
            <w:r>
              <w:rPr>
                <w:rFonts w:hint="eastAsia" w:ascii="楷体" w:hAnsi="楷体" w:eastAsia="楷体"/>
                <w:lang w:val="en-US" w:eastAsia="zh-CN"/>
              </w:rPr>
              <w:t>1、</w:t>
            </w:r>
            <w:r>
              <w:rPr>
                <w:rFonts w:hint="eastAsia" w:ascii="楷体" w:hAnsi="楷体" w:eastAsia="楷体"/>
                <w:lang w:eastAsia="zh-CN"/>
              </w:rPr>
              <w:t>办公室未对</w:t>
            </w:r>
            <w:r>
              <w:rPr>
                <w:rFonts w:hint="eastAsia" w:ascii="楷体" w:hAnsi="楷体" w:eastAsia="楷体"/>
                <w:lang w:val="en-US" w:eastAsia="zh-CN"/>
              </w:rPr>
              <w:t>新更新得环境和</w:t>
            </w:r>
            <w:r>
              <w:rPr>
                <w:rFonts w:hint="eastAsia" w:ascii="楷体" w:hAnsi="楷体" w:eastAsia="楷体"/>
                <w:lang w:eastAsia="zh-CN"/>
              </w:rPr>
              <w:t>安全</w:t>
            </w:r>
            <w:r>
              <w:rPr>
                <w:rFonts w:hint="eastAsia" w:ascii="楷体" w:hAnsi="楷体" w:eastAsia="楷体"/>
                <w:lang w:val="en-US" w:eastAsia="zh-CN"/>
              </w:rPr>
              <w:t>法律法规要求</w:t>
            </w:r>
            <w:r>
              <w:rPr>
                <w:rFonts w:hint="eastAsia" w:ascii="楷体" w:hAnsi="楷体" w:eastAsia="楷体"/>
                <w:lang w:eastAsia="zh-CN"/>
              </w:rPr>
              <w:t>进行培训；</w:t>
            </w:r>
            <w:r>
              <w:rPr>
                <w:rFonts w:hint="eastAsia" w:ascii="楷体" w:hAnsi="楷体" w:eastAsia="楷体"/>
                <w:lang w:val="en-US" w:eastAsia="zh-CN"/>
              </w:rPr>
              <w:t>2、在生产部8.1条款，未能提供消防设备的安全检查的记录。</w:t>
            </w:r>
            <w:r>
              <w:rPr>
                <w:rFonts w:hint="eastAsia" w:ascii="楷体" w:hAnsi="楷体" w:eastAsia="楷体"/>
              </w:rPr>
              <w:t>，查看《不符合报告》，不符合事实描述清晰，不符合原因分析准确，并制定了纠正及纠正预防措施，且措施可行，并对其有效性进行了验证，验证人：</w:t>
            </w:r>
            <w:r>
              <w:rPr>
                <w:rFonts w:hint="eastAsia" w:ascii="楷体" w:hAnsi="楷体" w:eastAsia="楷体"/>
                <w:lang w:val="en-US" w:eastAsia="zh-CN"/>
              </w:rPr>
              <w:t>缪哲芳</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本次内审编制有《内部管理体系审核报告》，对内审进行了综述和体系运行情况的评价，对纠正措施提出整改的要求。</w:t>
            </w:r>
          </w:p>
          <w:p>
            <w:pPr>
              <w:rPr>
                <w:rFonts w:hint="eastAsia" w:ascii="楷体" w:hAnsi="楷体" w:eastAsia="楷体"/>
                <w:bCs/>
                <w:lang w:eastAsia="zh-CN"/>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lang w:val="en-US" w:eastAsia="zh-CN"/>
              </w:rPr>
              <w:t>EO</w:t>
            </w: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rPr>
              <w:t>内审发现</w:t>
            </w:r>
            <w:r>
              <w:rPr>
                <w:rFonts w:hint="eastAsia" w:ascii="楷体" w:hAnsi="楷体" w:eastAsia="楷体"/>
                <w:lang w:val="en-US" w:eastAsia="zh-CN"/>
              </w:rPr>
              <w:t>2</w:t>
            </w:r>
            <w:r>
              <w:rPr>
                <w:rFonts w:hint="eastAsia" w:ascii="楷体" w:hAnsi="楷体" w:eastAsia="楷体"/>
              </w:rPr>
              <w:t>项不合格，在</w:t>
            </w:r>
            <w:r>
              <w:rPr>
                <w:rFonts w:hint="eastAsia" w:ascii="楷体" w:hAnsi="楷体" w:eastAsia="楷体"/>
                <w:lang w:val="en-US" w:eastAsia="zh-CN"/>
              </w:rPr>
              <w:t>办公室7.2</w:t>
            </w:r>
            <w:r>
              <w:rPr>
                <w:rFonts w:hint="eastAsia" w:ascii="楷体" w:hAnsi="楷体" w:eastAsia="楷体"/>
              </w:rPr>
              <w:t>条款，为一般不符合项</w:t>
            </w:r>
            <w:r>
              <w:rPr>
                <w:rFonts w:hint="eastAsia" w:ascii="楷体" w:hAnsi="楷体" w:eastAsia="楷体"/>
                <w:lang w:eastAsia="zh-CN"/>
              </w:rPr>
              <w:t>：</w:t>
            </w:r>
            <w:r>
              <w:rPr>
                <w:rFonts w:hint="eastAsia" w:ascii="楷体" w:hAnsi="楷体" w:eastAsia="楷体"/>
                <w:lang w:val="en-US" w:eastAsia="zh-CN"/>
              </w:rPr>
              <w:t>1、</w:t>
            </w:r>
            <w:r>
              <w:rPr>
                <w:rFonts w:hint="eastAsia" w:ascii="楷体" w:hAnsi="楷体" w:eastAsia="楷体"/>
                <w:lang w:eastAsia="zh-CN"/>
              </w:rPr>
              <w:t>办公室未对</w:t>
            </w:r>
            <w:r>
              <w:rPr>
                <w:rFonts w:hint="eastAsia" w:ascii="楷体" w:hAnsi="楷体" w:eastAsia="楷体"/>
                <w:lang w:val="en-US" w:eastAsia="zh-CN"/>
              </w:rPr>
              <w:t>新更新得环境和</w:t>
            </w:r>
            <w:r>
              <w:rPr>
                <w:rFonts w:hint="eastAsia" w:ascii="楷体" w:hAnsi="楷体" w:eastAsia="楷体"/>
                <w:lang w:eastAsia="zh-CN"/>
              </w:rPr>
              <w:t>安全</w:t>
            </w:r>
            <w:r>
              <w:rPr>
                <w:rFonts w:hint="eastAsia" w:ascii="楷体" w:hAnsi="楷体" w:eastAsia="楷体"/>
                <w:lang w:val="en-US" w:eastAsia="zh-CN"/>
              </w:rPr>
              <w:t>法律法规要求</w:t>
            </w:r>
            <w:r>
              <w:rPr>
                <w:rFonts w:hint="eastAsia" w:ascii="楷体" w:hAnsi="楷体" w:eastAsia="楷体"/>
                <w:lang w:eastAsia="zh-CN"/>
              </w:rPr>
              <w:t>进行培训；</w:t>
            </w:r>
            <w:r>
              <w:rPr>
                <w:rFonts w:hint="eastAsia" w:ascii="楷体" w:hAnsi="楷体" w:eastAsia="楷体"/>
                <w:lang w:val="en-US" w:eastAsia="zh-CN"/>
              </w:rPr>
              <w:t>2、在生产部8.1条款，未能提供消防设备的安全检查的记录。</w:t>
            </w:r>
            <w:r>
              <w:rPr>
                <w:rFonts w:hint="eastAsia" w:ascii="楷体" w:hAnsi="楷体" w:eastAsia="楷体"/>
              </w:rPr>
              <w:t>，查看《不符合报告》，不符合事实描述清晰，不符合原因分析准确，并制定了纠正及纠正预防措施，且措施可行，并对其有效性进行了验证，验证人：</w:t>
            </w:r>
            <w:r>
              <w:rPr>
                <w:rFonts w:hint="eastAsia" w:ascii="楷体" w:hAnsi="楷体" w:eastAsia="楷体"/>
                <w:lang w:val="en-US" w:eastAsia="zh-CN"/>
              </w:rPr>
              <w:t>缪哲芳</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bCs/>
              </w:rPr>
              <w:t>。</w:t>
            </w:r>
          </w:p>
          <w:p>
            <w:pPr>
              <w:rPr>
                <w:rFonts w:ascii="楷体" w:hAnsi="楷体" w:eastAsia="楷体"/>
                <w:bCs/>
              </w:rPr>
            </w:pPr>
            <w:r>
              <w:rPr>
                <w:rFonts w:hint="eastAsia" w:ascii="楷体" w:hAnsi="楷体" w:eastAsia="楷体"/>
                <w:bCs/>
              </w:rPr>
              <w:t xml:space="preserve">结论：纠正措施实施有效。  </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bl>
    <w:p>
      <w:pPr>
        <w:pStyle w:val="8"/>
      </w:pPr>
      <w:r>
        <w:rPr>
          <w:rFonts w:hint="eastAsia"/>
        </w:rPr>
        <w:t>说明：不符合标注N</w:t>
      </w: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7"/>
        <w:rFonts w:hint="default"/>
      </w:rPr>
      <w:t>北京国标联合认证有限公司</w:t>
    </w:r>
    <w:r>
      <w:rPr>
        <w:rStyle w:val="27"/>
        <w:rFonts w:hint="default"/>
      </w:rPr>
      <w:tab/>
    </w:r>
    <w:r>
      <w:rPr>
        <w:rStyle w:val="27"/>
        <w:rFonts w:hint="default"/>
      </w:rPr>
      <w:tab/>
    </w:r>
    <w:r>
      <w:rPr>
        <w:rStyle w:val="27"/>
        <w:rFonts w:hint="default"/>
      </w:rPr>
      <w:tab/>
    </w:r>
  </w:p>
  <w:p>
    <w:pPr>
      <w:pStyle w:val="9"/>
      <w:pBdr>
        <w:bottom w:val="none" w:color="auto" w:sz="0" w:space="0"/>
      </w:pBdr>
      <w:spacing w:line="320" w:lineRule="exact"/>
      <w:ind w:firstLine="756" w:firstLineChars="400"/>
      <w:jc w:val="left"/>
    </w:pPr>
    <w:r>
      <w:rPr>
        <w:rStyle w:val="2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12716A12"/>
    <w:rsid w:val="136E38FB"/>
    <w:rsid w:val="179A34E4"/>
    <w:rsid w:val="1A900232"/>
    <w:rsid w:val="208410C9"/>
    <w:rsid w:val="26E71A4D"/>
    <w:rsid w:val="29926A5E"/>
    <w:rsid w:val="327F351A"/>
    <w:rsid w:val="372D525B"/>
    <w:rsid w:val="40F16E61"/>
    <w:rsid w:val="41EF7DA0"/>
    <w:rsid w:val="46562CE5"/>
    <w:rsid w:val="4BAF4744"/>
    <w:rsid w:val="55B701B4"/>
    <w:rsid w:val="606B1DE2"/>
    <w:rsid w:val="61B14CD5"/>
    <w:rsid w:val="6E136B2B"/>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5">
    <w:name w:val="Emphasis"/>
    <w:basedOn w:val="12"/>
    <w:qFormat/>
    <w:uiPriority w:val="20"/>
    <w:rPr>
      <w:i/>
      <w:iCs/>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rPr>
      <w:sz w:val="0"/>
      <w:szCs w:val="0"/>
      <w:bdr w:val="single" w:color="CCCCCC" w:sz="2" w:space="0"/>
      <w:shd w:val="clear" w:fill="FFFFFF"/>
    </w:rPr>
  </w:style>
  <w:style w:type="character" w:styleId="18">
    <w:name w:val="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9">
    <w:name w:val="HTML Code"/>
    <w:basedOn w:val="12"/>
    <w:semiHidden/>
    <w:unhideWhenUsed/>
    <w:qFormat/>
    <w:uiPriority w:val="99"/>
    <w:rPr>
      <w:rFonts w:hint="default" w:ascii="Courier New" w:hAnsi="Courier New" w:eastAsia="Courier New" w:cs="Courier New"/>
      <w:sz w:val="20"/>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hint="default" w:ascii="Courier New" w:hAnsi="Courier New" w:eastAsia="Courier New" w:cs="Courier New"/>
      <w:sz w:val="20"/>
    </w:rPr>
  </w:style>
  <w:style w:type="character" w:styleId="22">
    <w:name w:val="HTML Sample"/>
    <w:basedOn w:val="12"/>
    <w:semiHidden/>
    <w:unhideWhenUsed/>
    <w:qFormat/>
    <w:uiPriority w:val="99"/>
    <w:rPr>
      <w:rFonts w:ascii="Courier New" w:hAnsi="Courier New" w:eastAsia="Courier New" w:cs="Courier New"/>
    </w:rPr>
  </w:style>
  <w:style w:type="paragraph" w:customStyle="1" w:styleId="23">
    <w:name w:val="表格文字"/>
    <w:basedOn w:val="1"/>
    <w:qFormat/>
    <w:uiPriority w:val="0"/>
    <w:pPr>
      <w:spacing w:before="25" w:after="25"/>
    </w:pPr>
    <w:rPr>
      <w:bCs/>
      <w:spacing w:val="10"/>
    </w:rPr>
  </w:style>
  <w:style w:type="character" w:customStyle="1" w:styleId="24">
    <w:name w:val="页眉 字符"/>
    <w:basedOn w:val="12"/>
    <w:link w:val="9"/>
    <w:qFormat/>
    <w:uiPriority w:val="99"/>
    <w:rPr>
      <w:rFonts w:ascii="Times New Roman" w:hAnsi="Times New Roman" w:eastAsia="宋体" w:cs="Times New Roman"/>
      <w:sz w:val="18"/>
      <w:szCs w:val="18"/>
    </w:rPr>
  </w:style>
  <w:style w:type="character" w:customStyle="1" w:styleId="25">
    <w:name w:val="页脚 字符"/>
    <w:basedOn w:val="12"/>
    <w:link w:val="8"/>
    <w:qFormat/>
    <w:uiPriority w:val="99"/>
    <w:rPr>
      <w:rFonts w:ascii="Times New Roman" w:hAnsi="Times New Roman" w:eastAsia="宋体" w:cs="Times New Roman"/>
      <w:sz w:val="18"/>
      <w:szCs w:val="18"/>
    </w:rPr>
  </w:style>
  <w:style w:type="character" w:customStyle="1" w:styleId="26">
    <w:name w:val="批注框文本 字符"/>
    <w:basedOn w:val="12"/>
    <w:link w:val="7"/>
    <w:semiHidden/>
    <w:qFormat/>
    <w:uiPriority w:val="99"/>
    <w:rPr>
      <w:rFonts w:ascii="Times New Roman" w:hAnsi="Times New Roman" w:eastAsia="宋体" w:cs="Times New Roman"/>
      <w:sz w:val="18"/>
      <w:szCs w:val="18"/>
    </w:rPr>
  </w:style>
  <w:style w:type="character" w:customStyle="1" w:styleId="27">
    <w:name w:val="Char Char1"/>
    <w:qFormat/>
    <w:locked/>
    <w:uiPriority w:val="0"/>
    <w:rPr>
      <w:rFonts w:hint="eastAsia" w:ascii="宋体" w:hAnsi="Courier New" w:eastAsia="宋体"/>
      <w:kern w:val="2"/>
      <w:sz w:val="21"/>
      <w:lang w:val="en-US" w:eastAsia="zh-CN" w:bidi="ar-SA"/>
    </w:rPr>
  </w:style>
  <w:style w:type="paragraph"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NormalCharacter"/>
    <w:qFormat/>
    <w:uiPriority w:val="0"/>
  </w:style>
  <w:style w:type="paragraph" w:customStyle="1" w:styleId="31">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2">
    <w:name w:val="checked"/>
    <w:basedOn w:val="12"/>
    <w:qFormat/>
    <w:uiPriority w:val="0"/>
    <w:rPr>
      <w:vanish/>
    </w:rPr>
  </w:style>
  <w:style w:type="character" w:customStyle="1" w:styleId="33">
    <w:name w:val="checked1"/>
    <w:basedOn w:val="12"/>
    <w:qFormat/>
    <w:uiPriority w:val="0"/>
  </w:style>
  <w:style w:type="character" w:customStyle="1" w:styleId="34">
    <w:name w:val="ca-nav-next"/>
    <w:basedOn w:val="12"/>
    <w:qFormat/>
    <w:uiPriority w:val="0"/>
  </w:style>
  <w:style w:type="character" w:customStyle="1" w:styleId="35">
    <w:name w:val="button"/>
    <w:basedOn w:val="12"/>
    <w:qFormat/>
    <w:uiPriority w:val="0"/>
  </w:style>
  <w:style w:type="character" w:customStyle="1" w:styleId="36">
    <w:name w:val="last-child"/>
    <w:basedOn w:val="12"/>
    <w:qFormat/>
    <w:uiPriority w:val="0"/>
    <w:rPr>
      <w:color w:val="999999"/>
    </w:rPr>
  </w:style>
  <w:style w:type="character" w:customStyle="1" w:styleId="37">
    <w:name w:val="last-child1"/>
    <w:basedOn w:val="12"/>
    <w:qFormat/>
    <w:uiPriority w:val="0"/>
  </w:style>
  <w:style w:type="character" w:customStyle="1" w:styleId="38">
    <w:name w:val="hover19"/>
    <w:basedOn w:val="12"/>
    <w:qFormat/>
    <w:uiPriority w:val="0"/>
  </w:style>
  <w:style w:type="character" w:customStyle="1" w:styleId="39">
    <w:name w:val="hover20"/>
    <w:basedOn w:val="12"/>
    <w:qFormat/>
    <w:uiPriority w:val="0"/>
    <w:rPr>
      <w:shd w:val="clear" w:fill="F2F2F2"/>
    </w:rPr>
  </w:style>
  <w:style w:type="character" w:customStyle="1" w:styleId="40">
    <w:name w:val="hover21"/>
    <w:basedOn w:val="12"/>
    <w:qFormat/>
    <w:uiPriority w:val="0"/>
    <w:rPr>
      <w:shd w:val="clear" w:fill="F2F2F2"/>
    </w:rPr>
  </w:style>
  <w:style w:type="character" w:customStyle="1" w:styleId="41">
    <w:name w:val="active2"/>
    <w:basedOn w:val="12"/>
    <w:qFormat/>
    <w:uiPriority w:val="0"/>
    <w:rPr>
      <w:shd w:val="clear" w:fill="F2F2F2"/>
    </w:rPr>
  </w:style>
  <w:style w:type="character" w:customStyle="1" w:styleId="42">
    <w:name w:val="tmpztreemove_arrow"/>
    <w:basedOn w:val="12"/>
    <w:qFormat/>
    <w:uiPriority w:val="0"/>
  </w:style>
  <w:style w:type="character" w:customStyle="1" w:styleId="43">
    <w:name w:val="hover"/>
    <w:basedOn w:val="12"/>
    <w:qFormat/>
    <w:uiPriority w:val="0"/>
  </w:style>
  <w:style w:type="character" w:customStyle="1" w:styleId="44">
    <w:name w:val="hover1"/>
    <w:basedOn w:val="12"/>
    <w:qFormat/>
    <w:uiPriority w:val="0"/>
    <w:rPr>
      <w:shd w:val="clear" w:fill="F2F2F2"/>
    </w:rPr>
  </w:style>
  <w:style w:type="character" w:customStyle="1" w:styleId="45">
    <w:name w:val="hover2"/>
    <w:basedOn w:val="12"/>
    <w:qFormat/>
    <w:uiPriority w:val="0"/>
    <w:rPr>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7160</Words>
  <Characters>7704</Characters>
  <Lines>142</Lines>
  <Paragraphs>40</Paragraphs>
  <TotalTime>0</TotalTime>
  <ScaleCrop>false</ScaleCrop>
  <LinksUpToDate>false</LinksUpToDate>
  <CharactersWithSpaces>7882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2022-10-11T03:30:31Z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