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sz w:val="44"/>
          <w:szCs w:val="44"/>
        </w:rPr>
      </w:pPr>
      <w:r>
        <w:rPr>
          <w:rFonts w:hint="eastAsia" w:ascii="隶书" w:hAnsi="宋体" w:eastAsia="隶书"/>
          <w:bCs/>
          <w:sz w:val="44"/>
          <w:szCs w:val="44"/>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1272"/>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48" w:type="dxa"/>
            <w:vMerge w:val="restart"/>
            <w:vAlign w:val="center"/>
          </w:tcPr>
          <w:p>
            <w:pPr>
              <w:spacing w:before="120" w:line="360" w:lineRule="auto"/>
              <w:jc w:val="center"/>
              <w:rPr>
                <w:rFonts w:hint="eastAsia" w:ascii="宋体" w:hAnsi="宋体" w:eastAsia="宋体" w:cs="宋体"/>
                <w:sz w:val="21"/>
                <w:szCs w:val="21"/>
              </w:rPr>
            </w:pPr>
            <w:r>
              <w:rPr>
                <w:rFonts w:hint="eastAsia" w:ascii="宋体" w:hAnsi="宋体" w:eastAsia="宋体" w:cs="宋体"/>
                <w:sz w:val="21"/>
                <w:szCs w:val="21"/>
              </w:rPr>
              <w:t>过程与活动、</w:t>
            </w: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抽样计划</w:t>
            </w:r>
          </w:p>
        </w:tc>
        <w:tc>
          <w:tcPr>
            <w:tcW w:w="1272"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涉及</w:t>
            </w:r>
          </w:p>
          <w:p>
            <w:pPr>
              <w:spacing w:line="360" w:lineRule="auto"/>
              <w:rPr>
                <w:rFonts w:hint="eastAsia" w:ascii="宋体" w:hAnsi="宋体" w:eastAsia="宋体" w:cs="宋体"/>
                <w:sz w:val="21"/>
                <w:szCs w:val="21"/>
              </w:rPr>
            </w:pPr>
            <w:r>
              <w:rPr>
                <w:rFonts w:hint="eastAsia" w:ascii="宋体" w:hAnsi="宋体" w:eastAsia="宋体" w:cs="宋体"/>
                <w:sz w:val="21"/>
                <w:szCs w:val="21"/>
              </w:rPr>
              <w:t>条款</w:t>
            </w:r>
          </w:p>
        </w:tc>
        <w:tc>
          <w:tcPr>
            <w:tcW w:w="10455" w:type="dxa"/>
            <w:vAlign w:val="center"/>
          </w:tcPr>
          <w:p>
            <w:pPr>
              <w:pStyle w:val="2"/>
              <w:spacing w:line="360" w:lineRule="auto"/>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受审核部门：</w:t>
            </w: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 xml:space="preserve">      </w:t>
            </w:r>
            <w:r>
              <w:rPr>
                <w:rFonts w:hint="eastAsia" w:ascii="宋体" w:hAnsi="宋体" w:cs="宋体"/>
                <w:bCs w:val="0"/>
                <w:spacing w:val="0"/>
                <w:kern w:val="2"/>
                <w:sz w:val="21"/>
                <w:szCs w:val="21"/>
                <w:lang w:val="en-US" w:eastAsia="zh-CN" w:bidi="ar-SA"/>
              </w:rPr>
              <w:t xml:space="preserve">   </w:t>
            </w:r>
            <w:r>
              <w:rPr>
                <w:rFonts w:hint="eastAsia" w:ascii="宋体" w:hAnsi="宋体" w:eastAsia="宋体" w:cs="宋体"/>
                <w:bCs w:val="0"/>
                <w:spacing w:val="0"/>
                <w:kern w:val="2"/>
                <w:sz w:val="21"/>
                <w:szCs w:val="21"/>
                <w:lang w:val="en-US" w:eastAsia="zh-CN" w:bidi="ar-SA"/>
              </w:rPr>
              <w:t xml:space="preserve">  主管领导：</w:t>
            </w:r>
            <w:r>
              <w:rPr>
                <w:rFonts w:hint="eastAsia" w:ascii="宋体" w:hAnsi="宋体" w:cs="宋体"/>
                <w:bCs w:val="0"/>
                <w:spacing w:val="0"/>
                <w:kern w:val="2"/>
                <w:sz w:val="21"/>
                <w:szCs w:val="21"/>
                <w:lang w:val="en-US" w:eastAsia="zh-CN" w:bidi="ar-SA"/>
              </w:rPr>
              <w:t>邢英杰</w:t>
            </w:r>
            <w:r>
              <w:rPr>
                <w:rFonts w:hint="eastAsia" w:ascii="宋体" w:hAnsi="宋体" w:eastAsia="宋体" w:cs="宋体"/>
                <w:bCs w:val="0"/>
                <w:spacing w:val="0"/>
                <w:kern w:val="2"/>
                <w:sz w:val="21"/>
                <w:szCs w:val="21"/>
                <w:lang w:val="en-US" w:eastAsia="zh-CN" w:bidi="ar-SA"/>
              </w:rPr>
              <w:t xml:space="preserve">   </w:t>
            </w:r>
            <w:r>
              <w:rPr>
                <w:rFonts w:hint="eastAsia" w:ascii="宋体" w:hAnsi="宋体" w:cs="宋体"/>
                <w:bCs w:val="0"/>
                <w:spacing w:val="0"/>
                <w:kern w:val="2"/>
                <w:sz w:val="21"/>
                <w:szCs w:val="21"/>
                <w:lang w:val="en-US" w:eastAsia="zh-CN" w:bidi="ar-SA"/>
              </w:rPr>
              <w:t xml:space="preserve">    </w:t>
            </w:r>
            <w:r>
              <w:rPr>
                <w:rFonts w:hint="eastAsia" w:ascii="宋体" w:hAnsi="宋体" w:eastAsia="宋体" w:cs="宋体"/>
                <w:bCs w:val="0"/>
                <w:spacing w:val="0"/>
                <w:kern w:val="2"/>
                <w:sz w:val="21"/>
                <w:szCs w:val="21"/>
                <w:lang w:val="en-US" w:eastAsia="zh-CN" w:bidi="ar-SA"/>
              </w:rPr>
              <w:t>陪同人员：</w:t>
            </w:r>
            <w:r>
              <w:rPr>
                <w:rFonts w:hint="eastAsia" w:ascii="宋体" w:hAnsi="宋体" w:cs="宋体"/>
                <w:bCs w:val="0"/>
                <w:spacing w:val="0"/>
                <w:kern w:val="2"/>
                <w:sz w:val="21"/>
                <w:szCs w:val="21"/>
                <w:lang w:val="en-US" w:eastAsia="zh-CN" w:bidi="ar-SA"/>
              </w:rPr>
              <w:t>黄蓉玉</w:t>
            </w:r>
            <w:bookmarkStart w:id="0" w:name="_GoBack"/>
            <w:bookmarkEnd w:id="0"/>
          </w:p>
        </w:tc>
        <w:tc>
          <w:tcPr>
            <w:tcW w:w="1134"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48" w:type="dxa"/>
            <w:vMerge w:val="continue"/>
            <w:vAlign w:val="center"/>
          </w:tcPr>
          <w:p>
            <w:pPr>
              <w:spacing w:line="360" w:lineRule="auto"/>
              <w:rPr>
                <w:rFonts w:hint="eastAsia" w:ascii="宋体" w:hAnsi="宋体" w:eastAsia="宋体" w:cs="宋体"/>
                <w:sz w:val="21"/>
                <w:szCs w:val="21"/>
              </w:rPr>
            </w:pPr>
          </w:p>
        </w:tc>
        <w:tc>
          <w:tcPr>
            <w:tcW w:w="1272" w:type="dxa"/>
            <w:vMerge w:val="continue"/>
            <w:vAlign w:val="center"/>
          </w:tcPr>
          <w:p>
            <w:pPr>
              <w:spacing w:line="360" w:lineRule="auto"/>
              <w:rPr>
                <w:rFonts w:hint="eastAsia" w:ascii="宋体" w:hAnsi="宋体" w:eastAsia="宋体" w:cs="宋体"/>
                <w:sz w:val="21"/>
                <w:szCs w:val="21"/>
              </w:rPr>
            </w:pPr>
          </w:p>
        </w:tc>
        <w:tc>
          <w:tcPr>
            <w:tcW w:w="10455" w:type="dxa"/>
            <w:vAlign w:val="center"/>
          </w:tcPr>
          <w:p>
            <w:pPr>
              <w:pStyle w:val="2"/>
              <w:spacing w:line="360" w:lineRule="auto"/>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审核员：温红玲B（远程微信沟通） 喻荣秋</w:t>
            </w:r>
            <w:r>
              <w:rPr>
                <w:rFonts w:hint="eastAsia" w:ascii="宋体" w:hAnsi="宋体" w:eastAsia="宋体" w:cs="宋体"/>
                <w:bCs w:val="0"/>
                <w:spacing w:val="0"/>
                <w:kern w:val="2"/>
                <w:sz w:val="21"/>
                <w:szCs w:val="21"/>
                <w:u w:val="single"/>
                <w:lang w:val="en-US" w:eastAsia="zh-CN" w:bidi="ar-SA"/>
              </w:rPr>
              <w:t>A</w:t>
            </w:r>
            <w:r>
              <w:rPr>
                <w:rFonts w:hint="eastAsia" w:ascii="宋体" w:hAnsi="宋体" w:eastAsia="宋体" w:cs="宋体"/>
                <w:bCs w:val="0"/>
                <w:spacing w:val="0"/>
                <w:kern w:val="2"/>
                <w:sz w:val="21"/>
                <w:szCs w:val="21"/>
                <w:lang w:val="en-US" w:eastAsia="zh-CN" w:bidi="ar-SA"/>
              </w:rPr>
              <w:t>（提供专业支持，远程微信沟通）   审核时间：2022.12.19</w:t>
            </w:r>
          </w:p>
        </w:tc>
        <w:tc>
          <w:tcPr>
            <w:tcW w:w="1134" w:type="dxa"/>
            <w:vMerge w:val="continue"/>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1848" w:type="dxa"/>
            <w:vMerge w:val="continue"/>
            <w:vAlign w:val="center"/>
          </w:tcPr>
          <w:p>
            <w:pPr>
              <w:spacing w:line="360" w:lineRule="auto"/>
              <w:rPr>
                <w:rFonts w:hint="eastAsia" w:ascii="宋体" w:hAnsi="宋体" w:eastAsia="宋体" w:cs="宋体"/>
                <w:color w:val="FF0000"/>
                <w:sz w:val="21"/>
                <w:szCs w:val="21"/>
              </w:rPr>
            </w:pPr>
          </w:p>
        </w:tc>
        <w:tc>
          <w:tcPr>
            <w:tcW w:w="1272" w:type="dxa"/>
            <w:vMerge w:val="continue"/>
            <w:vAlign w:val="center"/>
          </w:tcPr>
          <w:p>
            <w:pPr>
              <w:spacing w:line="360" w:lineRule="auto"/>
              <w:rPr>
                <w:rFonts w:hint="eastAsia" w:ascii="宋体" w:hAnsi="宋体" w:eastAsia="宋体" w:cs="宋体"/>
                <w:color w:val="FF0000"/>
                <w:sz w:val="21"/>
                <w:szCs w:val="21"/>
              </w:rPr>
            </w:pPr>
          </w:p>
        </w:tc>
        <w:tc>
          <w:tcPr>
            <w:tcW w:w="10455" w:type="dxa"/>
            <w:vAlign w:val="center"/>
          </w:tcPr>
          <w:p>
            <w:pPr>
              <w:pStyle w:val="2"/>
              <w:spacing w:line="360" w:lineRule="auto"/>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审核条款：</w:t>
            </w:r>
          </w:p>
          <w:p>
            <w:pPr>
              <w:pStyle w:val="2"/>
              <w:spacing w:line="360" w:lineRule="auto"/>
              <w:rPr>
                <w:rFonts w:hint="eastAsia" w:ascii="宋体" w:hAnsi="宋体" w:eastAsia="宋体" w:cs="宋体"/>
                <w:sz w:val="21"/>
                <w:szCs w:val="21"/>
              </w:rPr>
            </w:pPr>
            <w:r>
              <w:rPr>
                <w:rFonts w:hint="eastAsia" w:ascii="宋体" w:hAnsi="宋体" w:eastAsia="宋体" w:cs="宋体"/>
                <w:sz w:val="21"/>
                <w:szCs w:val="21"/>
              </w:rPr>
              <w:t>QEO：B审核（A提供专业支持）</w:t>
            </w:r>
          </w:p>
          <w:p>
            <w:pPr>
              <w:pStyle w:val="2"/>
              <w:spacing w:line="360" w:lineRule="auto"/>
              <w:rPr>
                <w:rFonts w:hint="eastAsia" w:ascii="宋体" w:hAnsi="宋体" w:eastAsia="宋体" w:cs="宋体"/>
                <w:bCs w:val="0"/>
                <w:spacing w:val="0"/>
                <w:kern w:val="2"/>
                <w:sz w:val="21"/>
                <w:szCs w:val="21"/>
                <w:lang w:val="en-US" w:eastAsia="zh-CN" w:bidi="ar-SA"/>
              </w:rPr>
            </w:pPr>
            <w:r>
              <w:rPr>
                <w:rFonts w:hint="eastAsia" w:ascii="宋体" w:hAnsi="宋体" w:eastAsia="宋体" w:cs="宋体"/>
                <w:sz w:val="21"/>
                <w:szCs w:val="21"/>
              </w:rPr>
              <w:t>5.3组织的岗位、职责和权限、</w:t>
            </w:r>
            <w:r>
              <w:rPr>
                <w:rFonts w:hint="eastAsia" w:ascii="宋体" w:hAnsi="宋体" w:eastAsia="宋体" w:cs="宋体"/>
                <w:sz w:val="21"/>
                <w:szCs w:val="21"/>
                <w:u w:val="single"/>
              </w:rPr>
              <w:t>EO 6.1.2环境因素/危险源辨识与评价、</w:t>
            </w:r>
            <w:r>
              <w:rPr>
                <w:rFonts w:hint="eastAsia" w:ascii="宋体" w:hAnsi="宋体" w:cs="宋体"/>
                <w:sz w:val="21"/>
                <w:szCs w:val="21"/>
                <w:u w:val="single"/>
                <w:lang w:val="en-US" w:eastAsia="zh-CN"/>
              </w:rPr>
              <w:t>EO6.1.3法律法规要求和其他要求的确定/合规义务、</w:t>
            </w:r>
            <w:r>
              <w:rPr>
                <w:rFonts w:hint="eastAsia" w:ascii="宋体" w:hAnsi="宋体" w:eastAsia="宋体" w:cs="宋体"/>
                <w:sz w:val="21"/>
                <w:szCs w:val="21"/>
              </w:rPr>
              <w:t>6.2质量/环境/职业健康安全目标、Q6.3变更的策划、Q7.1.2人员； Q7.1.6组织知识；E7.1资源、7.2能力；7.3意识；7.5文件化信息、</w:t>
            </w:r>
            <w:r>
              <w:rPr>
                <w:rFonts w:hint="eastAsia" w:ascii="宋体" w:hAnsi="宋体" w:eastAsia="宋体" w:cs="宋体"/>
                <w:sz w:val="21"/>
                <w:szCs w:val="21"/>
                <w:u w:val="single"/>
              </w:rPr>
              <w:t>EO8.1运行策划和控制、EO8.2应急准备和响应、</w:t>
            </w:r>
            <w:r>
              <w:rPr>
                <w:rFonts w:hint="eastAsia" w:ascii="宋体" w:hAnsi="宋体" w:eastAsia="宋体" w:cs="宋体"/>
                <w:sz w:val="21"/>
                <w:szCs w:val="21"/>
              </w:rPr>
              <w:t>9.1.1监视、测量、分析和评价 总则、</w:t>
            </w:r>
            <w:r>
              <w:rPr>
                <w:rFonts w:hint="eastAsia" w:ascii="宋体" w:hAnsi="宋体" w:cs="宋体"/>
                <w:sz w:val="21"/>
                <w:szCs w:val="21"/>
                <w:u w:val="single"/>
                <w:lang w:val="en-US" w:eastAsia="zh-CN"/>
              </w:rPr>
              <w:t>EO9.1.2合规性评价、</w:t>
            </w:r>
            <w:r>
              <w:rPr>
                <w:rFonts w:hint="eastAsia" w:ascii="宋体" w:hAnsi="宋体" w:eastAsia="宋体" w:cs="宋体"/>
                <w:sz w:val="21"/>
                <w:szCs w:val="21"/>
              </w:rPr>
              <w:t xml:space="preserve">Q9.1.3分析与评价、9.2 内部审核、10.2事件、不合格和纠正措施 </w:t>
            </w:r>
          </w:p>
        </w:tc>
        <w:tc>
          <w:tcPr>
            <w:tcW w:w="1134" w:type="dxa"/>
            <w:vMerge w:val="continue"/>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848" w:type="dxa"/>
          </w:tcPr>
          <w:p>
            <w:pPr>
              <w:pStyle w:val="2"/>
              <w:spacing w:line="360" w:lineRule="auto"/>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组织的岗位职责和权限</w:t>
            </w:r>
          </w:p>
          <w:p>
            <w:pPr>
              <w:pStyle w:val="2"/>
              <w:spacing w:line="360" w:lineRule="auto"/>
              <w:rPr>
                <w:rFonts w:hint="eastAsia" w:ascii="宋体" w:hAnsi="宋体" w:eastAsia="宋体" w:cs="宋体"/>
                <w:bCs w:val="0"/>
                <w:spacing w:val="0"/>
                <w:kern w:val="2"/>
                <w:sz w:val="21"/>
                <w:szCs w:val="21"/>
                <w:lang w:val="en-US" w:eastAsia="zh-CN" w:bidi="ar-SA"/>
              </w:rPr>
            </w:pPr>
          </w:p>
        </w:tc>
        <w:tc>
          <w:tcPr>
            <w:tcW w:w="1272" w:type="dxa"/>
          </w:tcPr>
          <w:p>
            <w:pPr>
              <w:pStyle w:val="2"/>
              <w:spacing w:line="360" w:lineRule="auto"/>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QEO5.3</w:t>
            </w:r>
          </w:p>
          <w:p>
            <w:pPr>
              <w:pStyle w:val="2"/>
              <w:spacing w:line="360" w:lineRule="auto"/>
              <w:rPr>
                <w:rFonts w:hint="eastAsia" w:ascii="宋体" w:hAnsi="宋体" w:eastAsia="宋体" w:cs="宋体"/>
                <w:bCs w:val="0"/>
                <w:spacing w:val="0"/>
                <w:kern w:val="2"/>
                <w:sz w:val="21"/>
                <w:szCs w:val="21"/>
                <w:lang w:val="en-US" w:eastAsia="zh-CN" w:bidi="ar-SA"/>
              </w:rPr>
            </w:pPr>
          </w:p>
        </w:tc>
        <w:tc>
          <w:tcPr>
            <w:tcW w:w="10455" w:type="dxa"/>
            <w:vAlign w:val="center"/>
          </w:tcPr>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主要负责以下工作内容：</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负责组织、协调和督促检查全公司的管理和质量/环境/职业健康安全管理工作；</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归口管理质量环境安全管理体系文件、技术标准类文件和其他管理类文件； 负责公司档案的管理工作；负责公司各类资质的申报、文件的管理更新；</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负责组织产品文件和质量/环境/职业健康安全管理体系运行文件的记录的归档管理；</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负责公司人力资源的规划、管理、开发和培训等制度体系的建立、实施和完善；</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组织专业技术职称评审和技术岗位、特殊岗位上岗资格评审工作等；</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负责公司总体绩效考核体系的建立、组织、实施和完善；</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负责质量/环境/职业健康安全管理体系的建立、实施、保持和持续改进工作；</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负责质量/环境/职业健康安全管理体系目标分解，负责质量/环境/职业健康安全管理体系运行中的组织、协调、监督、检查工作；</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负责收集整理，并定期更新与本公司业务相关的法律法规及其他要求；</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负责公司合规性评价、应急准备和响应工作的统一归口管理；</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负责公司质量/环境/职业健康安全管理体系内审和管理评审工作的组织和实施；</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负责公司质量/环境/职业健康安全管理体系不符合、纠正和预防工作的统一归口管理；</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负责质量/环境/职业健康安全管理体系有关数据的综合分析和改进控制；</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负责本部门环境因素和危险源的识别和评价，进行必要的更新；</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负责本部门应急准备和响应计划落实及应急情况的善后处理，包括本部门应急准备的物资管理。</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负责检测检定服务管理的日常检查工作，负责办公设备及用品的采购、验收及日常的维护和维修。</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负责本部门环境因素和危险源的识别和评价，提出管理方案并实施；</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负责本部门应急准备和响应计划落实及应急情况的善后处理，包括本部门应急准备的物资管理；</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负责协助最高管理者组织公司的管理评审，并保存归档相关成文信息；</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负责协助管理者代表组织公司内部的QEO管理体系审核，并保存归档相关成文信息；</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负责本部门的环境及职业健康安全管理体系有关要求的执行；</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负责本部门的环境因素和危险源的识别与控制；</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积极参与公司组织的应急预案的培训及演练；</w:t>
            </w:r>
          </w:p>
          <w:p>
            <w:pPr>
              <w:pStyle w:val="2"/>
              <w:spacing w:line="360" w:lineRule="auto"/>
              <w:ind w:left="420" w:leftChars="200" w:firstLine="0" w:firstLineChars="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负责本部门的目标指标的完成，并按月统计上报公司同时接受本部门的目标指标的考核。</w:t>
            </w:r>
          </w:p>
          <w:p>
            <w:pPr>
              <w:pStyle w:val="2"/>
              <w:spacing w:line="360" w:lineRule="auto"/>
              <w:ind w:left="420" w:leftChars="200" w:firstLine="0" w:firstLineChars="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与</w:t>
            </w: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负责人</w:t>
            </w:r>
            <w:r>
              <w:rPr>
                <w:rFonts w:hint="eastAsia" w:ascii="宋体" w:hAnsi="宋体" w:cs="宋体"/>
                <w:bCs w:val="0"/>
                <w:spacing w:val="0"/>
                <w:kern w:val="2"/>
                <w:sz w:val="21"/>
                <w:szCs w:val="21"/>
                <w:lang w:val="en-US" w:eastAsia="zh-CN" w:bidi="ar-SA"/>
              </w:rPr>
              <w:t>邢英杰</w:t>
            </w:r>
            <w:r>
              <w:rPr>
                <w:rFonts w:hint="eastAsia" w:ascii="宋体" w:hAnsi="宋体" w:eastAsia="宋体" w:cs="宋体"/>
                <w:bCs w:val="0"/>
                <w:spacing w:val="0"/>
                <w:kern w:val="2"/>
                <w:sz w:val="21"/>
                <w:szCs w:val="21"/>
                <w:lang w:val="en-US" w:eastAsia="zh-CN" w:bidi="ar-SA"/>
              </w:rPr>
              <w:t>沟通，描述的职责和权限与一体化管理体系的职能分配表基本一致。</w:t>
            </w:r>
          </w:p>
        </w:tc>
        <w:tc>
          <w:tcPr>
            <w:tcW w:w="1134" w:type="dxa"/>
          </w:tcPr>
          <w:p>
            <w:pPr>
              <w:spacing w:line="360" w:lineRule="auto"/>
              <w:rPr>
                <w:rFonts w:hint="eastAsia" w:ascii="宋体" w:hAnsi="宋体" w:eastAsia="宋体" w:cs="宋体"/>
                <w:color w:val="FF0000"/>
                <w:sz w:val="21"/>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2" w:hRule="atLeast"/>
        </w:trPr>
        <w:tc>
          <w:tcPr>
            <w:tcW w:w="1848" w:type="dxa"/>
          </w:tcPr>
          <w:p>
            <w:pPr>
              <w:pStyle w:val="2"/>
              <w:spacing w:line="360" w:lineRule="auto"/>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组织的环境因素、危险源辨识和职业安全风险评价</w:t>
            </w:r>
          </w:p>
        </w:tc>
        <w:tc>
          <w:tcPr>
            <w:tcW w:w="1272" w:type="dxa"/>
          </w:tcPr>
          <w:p>
            <w:pPr>
              <w:pStyle w:val="2"/>
              <w:spacing w:line="360" w:lineRule="auto"/>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EO6.1.2</w:t>
            </w:r>
          </w:p>
        </w:tc>
        <w:tc>
          <w:tcPr>
            <w:tcW w:w="10455" w:type="dxa"/>
            <w:vAlign w:val="center"/>
          </w:tcPr>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组织根据手册第6.1.2条款、《环境因素识别、评价和控制程序》要求，由</w:t>
            </w: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负责指导各部门环境因素的调查、评价、汇总、登记、审定及更新，各部门负责组织实施，</w:t>
            </w: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负责汇总整理。</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查看组织《环境因素识别评价表》，组织在办公区、实验室、车间等场所，按照活动过程调查、识别和确定了环境因素及其环境影响，对环境因素的正常</w:t>
            </w:r>
            <w:r>
              <w:rPr>
                <w:rFonts w:hint="eastAsia" w:ascii="宋体" w:hAnsi="宋体" w:cs="宋体"/>
                <w:bCs w:val="0"/>
                <w:spacing w:val="0"/>
                <w:kern w:val="2"/>
                <w:sz w:val="21"/>
                <w:szCs w:val="21"/>
                <w:lang w:val="en-US" w:eastAsia="zh-CN" w:bidi="ar-SA"/>
              </w:rPr>
              <w:t>、</w:t>
            </w:r>
            <w:r>
              <w:rPr>
                <w:rFonts w:hint="eastAsia" w:ascii="宋体" w:hAnsi="宋体" w:eastAsia="宋体" w:cs="宋体"/>
                <w:bCs w:val="0"/>
                <w:spacing w:val="0"/>
                <w:kern w:val="2"/>
                <w:sz w:val="21"/>
                <w:szCs w:val="21"/>
                <w:lang w:val="en-US" w:eastAsia="zh-CN" w:bidi="ar-SA"/>
              </w:rPr>
              <w:t>异常</w:t>
            </w:r>
            <w:r>
              <w:rPr>
                <w:rFonts w:hint="eastAsia" w:ascii="宋体" w:hAnsi="宋体" w:cs="宋体"/>
                <w:bCs w:val="0"/>
                <w:spacing w:val="0"/>
                <w:kern w:val="2"/>
                <w:sz w:val="21"/>
                <w:szCs w:val="21"/>
                <w:lang w:val="en-US" w:eastAsia="zh-CN" w:bidi="ar-SA"/>
              </w:rPr>
              <w:t>、</w:t>
            </w:r>
            <w:r>
              <w:rPr>
                <w:rFonts w:hint="eastAsia" w:ascii="宋体" w:hAnsi="宋体" w:eastAsia="宋体" w:cs="宋体"/>
                <w:bCs w:val="0"/>
                <w:spacing w:val="0"/>
                <w:kern w:val="2"/>
                <w:sz w:val="21"/>
                <w:szCs w:val="21"/>
                <w:lang w:val="en-US" w:eastAsia="zh-CN" w:bidi="ar-SA"/>
              </w:rPr>
              <w:t>紧急状态进行评价，对应责任部门明确，有相应的保存期限、责任人和制定日期，基本满足环境因素识别、确定和保持要求。</w:t>
            </w:r>
          </w:p>
          <w:p>
            <w:pPr>
              <w:pStyle w:val="2"/>
              <w:spacing w:line="360" w:lineRule="auto"/>
              <w:ind w:firstLine="460" w:firstLineChars="200"/>
              <w:rPr>
                <w:rFonts w:hint="eastAsia" w:ascii="宋体" w:hAnsi="宋体" w:eastAsia="宋体" w:cs="宋体"/>
                <w:bCs w:val="0"/>
                <w:spacing w:val="0"/>
                <w:kern w:val="2"/>
                <w:sz w:val="21"/>
                <w:szCs w:val="21"/>
                <w:lang w:val="en-US" w:eastAsia="zh-CN" w:bidi="ar-SA"/>
              </w:rPr>
            </w:pPr>
            <w:r>
              <w:drawing>
                <wp:anchor distT="0" distB="0" distL="114300" distR="114300" simplePos="0" relativeHeight="251661312" behindDoc="0" locked="0" layoutInCell="1" allowOverlap="1">
                  <wp:simplePos x="0" y="0"/>
                  <wp:positionH relativeFrom="column">
                    <wp:posOffset>673100</wp:posOffset>
                  </wp:positionH>
                  <wp:positionV relativeFrom="paragraph">
                    <wp:posOffset>291465</wp:posOffset>
                  </wp:positionV>
                  <wp:extent cx="4589145" cy="2135505"/>
                  <wp:effectExtent l="0" t="0" r="8255" b="10795"/>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4589145" cy="2135505"/>
                          </a:xfrm>
                          <a:prstGeom prst="rect">
                            <a:avLst/>
                          </a:prstGeom>
                          <a:noFill/>
                          <a:ln>
                            <a:noFill/>
                          </a:ln>
                        </pic:spPr>
                      </pic:pic>
                    </a:graphicData>
                  </a:graphic>
                </wp:anchor>
              </w:drawing>
            </w:r>
            <w:r>
              <w:rPr>
                <w:rFonts w:hint="eastAsia" w:ascii="宋体" w:hAnsi="宋体" w:eastAsia="宋体" w:cs="宋体"/>
                <w:bCs w:val="0"/>
                <w:spacing w:val="0"/>
                <w:kern w:val="2"/>
                <w:sz w:val="21"/>
                <w:szCs w:val="21"/>
                <w:lang w:val="en-US" w:eastAsia="zh-CN" w:bidi="ar-SA"/>
              </w:rPr>
              <w:t>组织按照《环境因素识别、评价和控制程序》准则确定了重要环境因素，抽查组织《重要环境因素清单》内容如下：</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重要环境因素识别、评价与实际吻合，管理方案明确控制措施基本能够满足控制要求。</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drawing>
                <wp:anchor distT="0" distB="0" distL="114300" distR="114300" simplePos="0" relativeHeight="251662336" behindDoc="0" locked="0" layoutInCell="1" allowOverlap="1">
                  <wp:simplePos x="0" y="0"/>
                  <wp:positionH relativeFrom="column">
                    <wp:posOffset>393700</wp:posOffset>
                  </wp:positionH>
                  <wp:positionV relativeFrom="paragraph">
                    <wp:posOffset>1180465</wp:posOffset>
                  </wp:positionV>
                  <wp:extent cx="4520565" cy="1587500"/>
                  <wp:effectExtent l="0" t="0" r="635" b="0"/>
                  <wp:wrapNone/>
                  <wp:docPr id="13" name="图片 13" descr="167397035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3970355653"/>
                          <pic:cNvPicPr>
                            <a:picLocks noChangeAspect="1"/>
                          </pic:cNvPicPr>
                        </pic:nvPicPr>
                        <pic:blipFill>
                          <a:blip r:embed="rId7"/>
                          <a:stretch>
                            <a:fillRect/>
                          </a:stretch>
                        </pic:blipFill>
                        <pic:spPr>
                          <a:xfrm>
                            <a:off x="0" y="0"/>
                            <a:ext cx="4520565" cy="1587500"/>
                          </a:xfrm>
                          <a:prstGeom prst="rect">
                            <a:avLst/>
                          </a:prstGeom>
                        </pic:spPr>
                      </pic:pic>
                    </a:graphicData>
                  </a:graphic>
                </wp:anchor>
              </w:drawing>
            </w:r>
            <w:r>
              <w:rPr>
                <w:rFonts w:hint="eastAsia" w:ascii="宋体" w:hAnsi="宋体" w:eastAsia="宋体" w:cs="宋体"/>
                <w:bCs w:val="0"/>
                <w:spacing w:val="0"/>
                <w:kern w:val="2"/>
                <w:sz w:val="21"/>
                <w:szCs w:val="21"/>
                <w:lang w:val="en-US" w:eastAsia="zh-CN" w:bidi="ar-SA"/>
              </w:rPr>
              <w:t>组织根据手册6.1.2条款、《危险源辨识、风险评价和风险控制策划程序》要求，由</w:t>
            </w: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负责编制《危险源风险辨识和评价表》，指导各职能部门（基层单位）开展危险、有害因素风险识别、评价，负责各职能部门（基层单位）风险评价记录的审查与控制效果有效性验证。组织有建立、更新《不可接受风险清单》。抽查组织不可接受风险内容如下：</w:t>
            </w: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组织的职业健康安全风险与危险源辨识清单判定的内容一致，</w:t>
            </w: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负责人</w:t>
            </w:r>
            <w:r>
              <w:rPr>
                <w:rFonts w:hint="eastAsia" w:ascii="宋体" w:hAnsi="宋体" w:cs="宋体"/>
                <w:bCs w:val="0"/>
                <w:spacing w:val="0"/>
                <w:kern w:val="2"/>
                <w:sz w:val="21"/>
                <w:szCs w:val="21"/>
                <w:lang w:val="en-US" w:eastAsia="zh-CN" w:bidi="ar-SA"/>
              </w:rPr>
              <w:t>邢英杰</w:t>
            </w:r>
            <w:r>
              <w:rPr>
                <w:rFonts w:hint="eastAsia" w:ascii="宋体" w:hAnsi="宋体" w:eastAsia="宋体" w:cs="宋体"/>
                <w:bCs w:val="0"/>
                <w:spacing w:val="0"/>
                <w:kern w:val="2"/>
                <w:sz w:val="21"/>
                <w:szCs w:val="21"/>
                <w:lang w:val="en-US" w:eastAsia="zh-CN" w:bidi="ar-SA"/>
              </w:rPr>
              <w:t>在访谈时介绍，组织会在危险源和风险识别、确定和应对的过程中寻找机遇，包括：1）使工作、工作组织和工作环境适合于工作人员；2）消除危险源和降低职业健康安全风险等，基本与ISO45001和企业手册以及程序文件要求识别的机遇一致，符合要求。</w:t>
            </w:r>
          </w:p>
        </w:tc>
        <w:tc>
          <w:tcPr>
            <w:tcW w:w="1134" w:type="dxa"/>
          </w:tcPr>
          <w:p>
            <w:pPr>
              <w:spacing w:line="360" w:lineRule="auto"/>
              <w:rPr>
                <w:rFonts w:hint="eastAsia" w:ascii="宋体" w:hAnsi="宋体" w:eastAsia="宋体" w:cs="宋体"/>
                <w:color w:val="FF0000"/>
                <w:sz w:val="21"/>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2" w:hRule="atLeast"/>
        </w:trPr>
        <w:tc>
          <w:tcPr>
            <w:tcW w:w="1848" w:type="dxa"/>
          </w:tcPr>
          <w:p>
            <w:pPr>
              <w:spacing w:line="360" w:lineRule="auto"/>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目标及其实现的策划总要求</w:t>
            </w:r>
          </w:p>
          <w:p>
            <w:pPr>
              <w:spacing w:line="360" w:lineRule="auto"/>
              <w:rPr>
                <w:rFonts w:hint="eastAsia" w:ascii="宋体" w:hAnsi="宋体" w:eastAsia="宋体" w:cs="宋体"/>
                <w:bCs w:val="0"/>
                <w:spacing w:val="0"/>
                <w:kern w:val="2"/>
                <w:sz w:val="21"/>
                <w:szCs w:val="21"/>
                <w:lang w:val="en-US" w:eastAsia="zh-CN" w:bidi="ar-SA"/>
              </w:rPr>
            </w:pPr>
          </w:p>
        </w:tc>
        <w:tc>
          <w:tcPr>
            <w:tcW w:w="1272" w:type="dxa"/>
          </w:tcPr>
          <w:p>
            <w:pPr>
              <w:spacing w:line="360" w:lineRule="auto"/>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QEO6.2</w:t>
            </w:r>
          </w:p>
          <w:p>
            <w:pPr>
              <w:spacing w:line="360" w:lineRule="auto"/>
              <w:rPr>
                <w:rFonts w:hint="eastAsia" w:ascii="宋体" w:hAnsi="宋体" w:eastAsia="宋体" w:cs="宋体"/>
                <w:bCs w:val="0"/>
                <w:spacing w:val="0"/>
                <w:kern w:val="2"/>
                <w:sz w:val="21"/>
                <w:szCs w:val="21"/>
                <w:lang w:val="en-US" w:eastAsia="zh-CN" w:bidi="ar-SA"/>
              </w:rPr>
            </w:pPr>
          </w:p>
          <w:p>
            <w:pPr>
              <w:spacing w:line="360" w:lineRule="auto"/>
              <w:rPr>
                <w:rFonts w:hint="eastAsia" w:ascii="宋体" w:hAnsi="宋体" w:eastAsia="宋体" w:cs="宋体"/>
                <w:bCs w:val="0"/>
                <w:spacing w:val="0"/>
                <w:kern w:val="2"/>
                <w:sz w:val="21"/>
                <w:szCs w:val="21"/>
                <w:lang w:val="en-US" w:eastAsia="zh-CN" w:bidi="ar-SA"/>
              </w:rPr>
            </w:pPr>
          </w:p>
        </w:tc>
        <w:tc>
          <w:tcPr>
            <w:tcW w:w="10455" w:type="dxa"/>
            <w:vAlign w:val="center"/>
          </w:tcPr>
          <w:p>
            <w:pPr>
              <w:spacing w:line="360" w:lineRule="auto"/>
              <w:ind w:firstLine="420" w:firstLineChars="200"/>
              <w:jc w:val="left"/>
              <w:rPr>
                <w:rFonts w:hint="default" w:ascii="宋体" w:hAnsi="宋体" w:eastAsia="宋体" w:cs="宋体"/>
                <w:bCs w:val="0"/>
                <w:spacing w:val="0"/>
                <w:kern w:val="2"/>
                <w:sz w:val="21"/>
                <w:szCs w:val="21"/>
                <w:lang w:val="en-US" w:eastAsia="zh-CN" w:bidi="ar-SA"/>
              </w:rPr>
            </w:pPr>
            <w:r>
              <w:rPr>
                <w:rFonts w:hint="eastAsia" w:ascii="宋体" w:hAnsi="宋体" w:cs="宋体"/>
                <w:bCs w:val="0"/>
                <w:spacing w:val="0"/>
                <w:kern w:val="2"/>
                <w:sz w:val="21"/>
                <w:szCs w:val="21"/>
                <w:lang w:val="en-US" w:eastAsia="zh-CN" w:bidi="ar-SA"/>
              </w:rPr>
              <w:t>公司总目标有：</w:t>
            </w:r>
          </w:p>
          <w:p>
            <w:pPr>
              <w:spacing w:line="360" w:lineRule="auto"/>
              <w:ind w:firstLine="420" w:firstLineChars="200"/>
              <w:jc w:val="left"/>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质量</w:t>
            </w:r>
            <w:r>
              <w:rPr>
                <w:rFonts w:hint="eastAsia" w:ascii="宋体" w:hAnsi="宋体" w:cs="宋体"/>
                <w:bCs w:val="0"/>
                <w:spacing w:val="0"/>
                <w:kern w:val="2"/>
                <w:sz w:val="21"/>
                <w:szCs w:val="21"/>
                <w:lang w:val="en-US" w:eastAsia="zh-CN" w:bidi="ar-SA"/>
              </w:rPr>
              <w:t>、</w:t>
            </w:r>
            <w:r>
              <w:rPr>
                <w:rFonts w:hint="eastAsia" w:ascii="宋体" w:hAnsi="宋体" w:eastAsia="宋体" w:cs="宋体"/>
                <w:bCs w:val="0"/>
                <w:spacing w:val="0"/>
                <w:kern w:val="2"/>
                <w:sz w:val="21"/>
                <w:szCs w:val="21"/>
                <w:lang w:val="en-US" w:eastAsia="zh-CN" w:bidi="ar-SA"/>
              </w:rPr>
              <w:t>环境、职业健康安全目标：</w:t>
            </w:r>
            <w:r>
              <w:rPr>
                <w:rFonts w:hint="eastAsia" w:ascii="宋体" w:hAnsi="宋体" w:cs="宋体"/>
                <w:bCs w:val="0"/>
                <w:spacing w:val="0"/>
                <w:kern w:val="2"/>
                <w:sz w:val="21"/>
                <w:szCs w:val="21"/>
                <w:lang w:val="en-US" w:eastAsia="zh-CN" w:bidi="ar-SA"/>
              </w:rPr>
              <w:t xml:space="preserve">             完成情况</w:t>
            </w:r>
          </w:p>
          <w:p>
            <w:pPr>
              <w:spacing w:line="360" w:lineRule="auto"/>
              <w:ind w:firstLine="420" w:firstLineChars="200"/>
              <w:jc w:val="left"/>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检定检测（一次核验）差错率控制在3%以下；</w:t>
            </w:r>
            <w:r>
              <w:rPr>
                <w:rFonts w:hint="eastAsia" w:ascii="宋体" w:hAnsi="宋体" w:cs="宋体"/>
                <w:bCs w:val="0"/>
                <w:spacing w:val="0"/>
                <w:kern w:val="2"/>
                <w:sz w:val="21"/>
                <w:szCs w:val="21"/>
                <w:lang w:val="en-US" w:eastAsia="zh-CN" w:bidi="ar-SA"/>
              </w:rPr>
              <w:t xml:space="preserve">    0.9%</w:t>
            </w:r>
          </w:p>
          <w:p>
            <w:pPr>
              <w:spacing w:line="360" w:lineRule="auto"/>
              <w:ind w:firstLine="420" w:firstLineChars="200"/>
              <w:jc w:val="left"/>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提供报告时间在约定的时间内，按时提交。</w:t>
            </w:r>
            <w:r>
              <w:rPr>
                <w:rFonts w:hint="eastAsia" w:ascii="宋体" w:hAnsi="宋体" w:cs="宋体"/>
                <w:bCs w:val="0"/>
                <w:spacing w:val="0"/>
                <w:kern w:val="2"/>
                <w:sz w:val="21"/>
                <w:szCs w:val="21"/>
                <w:lang w:val="en-US" w:eastAsia="zh-CN" w:bidi="ar-SA"/>
              </w:rPr>
              <w:t xml:space="preserve">      100%</w:t>
            </w:r>
          </w:p>
          <w:p>
            <w:pPr>
              <w:spacing w:line="360" w:lineRule="auto"/>
              <w:ind w:firstLine="420" w:firstLineChars="200"/>
              <w:jc w:val="left"/>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顾客满意率96%以上。</w:t>
            </w:r>
            <w:r>
              <w:rPr>
                <w:rFonts w:hint="eastAsia" w:ascii="宋体" w:hAnsi="宋体" w:cs="宋体"/>
                <w:bCs w:val="0"/>
                <w:spacing w:val="0"/>
                <w:kern w:val="2"/>
                <w:sz w:val="21"/>
                <w:szCs w:val="21"/>
                <w:lang w:val="en-US" w:eastAsia="zh-CN" w:bidi="ar-SA"/>
              </w:rPr>
              <w:t xml:space="preserve">                         98%</w:t>
            </w:r>
          </w:p>
          <w:p>
            <w:pPr>
              <w:spacing w:line="360" w:lineRule="auto"/>
              <w:ind w:firstLine="420" w:firstLineChars="200"/>
              <w:jc w:val="left"/>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重伤、死亡事故为0；</w:t>
            </w:r>
            <w:r>
              <w:rPr>
                <w:rFonts w:hint="eastAsia" w:ascii="宋体" w:hAnsi="宋体" w:cs="宋体"/>
                <w:bCs w:val="0"/>
                <w:spacing w:val="0"/>
                <w:kern w:val="2"/>
                <w:sz w:val="21"/>
                <w:szCs w:val="21"/>
                <w:lang w:val="en-US" w:eastAsia="zh-CN" w:bidi="ar-SA"/>
              </w:rPr>
              <w:t xml:space="preserve">                    0 </w:t>
            </w:r>
          </w:p>
          <w:p>
            <w:pPr>
              <w:spacing w:line="360" w:lineRule="auto"/>
              <w:ind w:firstLine="420" w:firstLineChars="200"/>
              <w:jc w:val="left"/>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火灾事故发生次数为0；</w:t>
            </w:r>
            <w:r>
              <w:rPr>
                <w:rFonts w:hint="eastAsia" w:ascii="宋体" w:hAnsi="宋体" w:cs="宋体"/>
                <w:bCs w:val="0"/>
                <w:spacing w:val="0"/>
                <w:kern w:val="2"/>
                <w:sz w:val="21"/>
                <w:szCs w:val="21"/>
                <w:lang w:val="en-US" w:eastAsia="zh-CN" w:bidi="ar-SA"/>
              </w:rPr>
              <w:t xml:space="preserve">                   0</w:t>
            </w:r>
          </w:p>
          <w:p>
            <w:pPr>
              <w:spacing w:line="360" w:lineRule="auto"/>
              <w:ind w:firstLine="420" w:firstLineChars="200"/>
              <w:jc w:val="left"/>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噪声投诉发生次数为0；</w:t>
            </w:r>
            <w:r>
              <w:rPr>
                <w:rFonts w:hint="eastAsia" w:ascii="宋体" w:hAnsi="宋体" w:cs="宋体"/>
                <w:bCs w:val="0"/>
                <w:spacing w:val="0"/>
                <w:kern w:val="2"/>
                <w:sz w:val="21"/>
                <w:szCs w:val="21"/>
                <w:lang w:val="en-US" w:eastAsia="zh-CN" w:bidi="ar-SA"/>
              </w:rPr>
              <w:t xml:space="preserve">                  0</w:t>
            </w:r>
          </w:p>
          <w:p>
            <w:pPr>
              <w:spacing w:line="360" w:lineRule="auto"/>
              <w:ind w:firstLine="420" w:firstLineChars="200"/>
              <w:jc w:val="left"/>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固废有效回收率≥95%。</w:t>
            </w:r>
            <w:r>
              <w:rPr>
                <w:rFonts w:hint="eastAsia" w:ascii="宋体" w:hAnsi="宋体" w:cs="宋体"/>
                <w:bCs w:val="0"/>
                <w:spacing w:val="0"/>
                <w:kern w:val="2"/>
                <w:sz w:val="21"/>
                <w:szCs w:val="21"/>
                <w:lang w:val="en-US" w:eastAsia="zh-CN" w:bidi="ar-SA"/>
              </w:rPr>
              <w:t xml:space="preserve">                    100%</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涉及</w:t>
            </w: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的质量、环境和职业健康安全分解的管理目标</w:t>
            </w:r>
            <w:r>
              <w:rPr>
                <w:rFonts w:hint="eastAsia" w:ascii="宋体" w:hAnsi="宋体" w:cs="宋体"/>
                <w:bCs w:val="0"/>
                <w:spacing w:val="0"/>
                <w:kern w:val="2"/>
                <w:sz w:val="21"/>
                <w:szCs w:val="21"/>
                <w:lang w:val="en-US" w:eastAsia="zh-CN" w:bidi="ar-SA"/>
              </w:rPr>
              <w:t>及完成情况</w:t>
            </w:r>
            <w:r>
              <w:rPr>
                <w:rFonts w:hint="eastAsia" w:ascii="宋体" w:hAnsi="宋体" w:eastAsia="宋体" w:cs="宋体"/>
                <w:bCs w:val="0"/>
                <w:spacing w:val="0"/>
                <w:kern w:val="2"/>
                <w:sz w:val="21"/>
                <w:szCs w:val="21"/>
                <w:lang w:val="en-US" w:eastAsia="zh-CN" w:bidi="ar-SA"/>
              </w:rPr>
              <w:t>包括：</w:t>
            </w:r>
          </w:p>
          <w:p>
            <w:pPr>
              <w:pStyle w:val="11"/>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文件发放准确率100%，</w:t>
            </w:r>
            <w:r>
              <w:rPr>
                <w:rFonts w:hint="eastAsia" w:ascii="宋体" w:hAnsi="宋体" w:cs="宋体"/>
                <w:bCs w:val="0"/>
                <w:spacing w:val="0"/>
                <w:kern w:val="2"/>
                <w:sz w:val="21"/>
                <w:szCs w:val="21"/>
                <w:lang w:val="en-US" w:eastAsia="zh-CN" w:bidi="ar-SA"/>
              </w:rPr>
              <w:t xml:space="preserve">                  100%   </w:t>
            </w:r>
          </w:p>
          <w:p>
            <w:pPr>
              <w:pStyle w:val="11"/>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人员培训合格率≥95%，</w:t>
            </w:r>
            <w:r>
              <w:rPr>
                <w:rFonts w:hint="eastAsia" w:ascii="宋体" w:hAnsi="宋体" w:cs="宋体"/>
                <w:bCs w:val="0"/>
                <w:spacing w:val="0"/>
                <w:kern w:val="2"/>
                <w:sz w:val="21"/>
                <w:szCs w:val="21"/>
                <w:lang w:val="en-US" w:eastAsia="zh-CN" w:bidi="ar-SA"/>
              </w:rPr>
              <w:t xml:space="preserve">                   95%</w:t>
            </w:r>
          </w:p>
          <w:p>
            <w:pPr>
              <w:pStyle w:val="11"/>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办公室固废处理合格率100%</w:t>
            </w:r>
            <w:r>
              <w:rPr>
                <w:rFonts w:hint="eastAsia" w:ascii="宋体" w:hAnsi="宋体" w:cs="宋体"/>
                <w:bCs w:val="0"/>
                <w:spacing w:val="0"/>
                <w:kern w:val="2"/>
                <w:sz w:val="21"/>
                <w:szCs w:val="21"/>
                <w:lang w:val="en-US" w:eastAsia="zh-CN" w:bidi="ar-SA"/>
              </w:rPr>
              <w:t xml:space="preserve">                100%</w:t>
            </w:r>
          </w:p>
          <w:p>
            <w:pPr>
              <w:pStyle w:val="11"/>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职业健康安全合格率100%</w:t>
            </w:r>
            <w:r>
              <w:rPr>
                <w:rFonts w:hint="eastAsia" w:ascii="宋体" w:hAnsi="宋体" w:cs="宋体"/>
                <w:bCs w:val="0"/>
                <w:spacing w:val="0"/>
                <w:kern w:val="2"/>
                <w:sz w:val="21"/>
                <w:szCs w:val="21"/>
                <w:lang w:val="en-US" w:eastAsia="zh-CN" w:bidi="ar-SA"/>
              </w:rPr>
              <w:t xml:space="preserve">                 100%</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部门目标与分解基本合理，均有相应的统计方法、管理方案和监视频率，责任部门和责任人明确，基本满足控制要求。</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查202</w:t>
            </w:r>
            <w:r>
              <w:rPr>
                <w:rFonts w:hint="eastAsia" w:ascii="宋体" w:hAnsi="宋体" w:cs="宋体"/>
                <w:bCs w:val="0"/>
                <w:spacing w:val="0"/>
                <w:kern w:val="2"/>
                <w:sz w:val="21"/>
                <w:szCs w:val="21"/>
                <w:lang w:val="en-US" w:eastAsia="zh-CN" w:bidi="ar-SA"/>
              </w:rPr>
              <w:t>2</w:t>
            </w:r>
            <w:r>
              <w:rPr>
                <w:rFonts w:hint="eastAsia" w:ascii="宋体" w:hAnsi="宋体" w:eastAsia="宋体" w:cs="宋体"/>
                <w:bCs w:val="0"/>
                <w:spacing w:val="0"/>
                <w:kern w:val="2"/>
                <w:sz w:val="21"/>
                <w:szCs w:val="21"/>
                <w:lang w:val="en-US" w:eastAsia="zh-CN" w:bidi="ar-SA"/>
              </w:rPr>
              <w:t>年1月～2022年</w:t>
            </w:r>
            <w:r>
              <w:rPr>
                <w:rFonts w:hint="eastAsia" w:ascii="宋体" w:hAnsi="宋体" w:cs="宋体"/>
                <w:bCs w:val="0"/>
                <w:spacing w:val="0"/>
                <w:kern w:val="2"/>
                <w:sz w:val="21"/>
                <w:szCs w:val="21"/>
                <w:lang w:val="en-US" w:eastAsia="zh-CN" w:bidi="ar-SA"/>
              </w:rPr>
              <w:t>11</w:t>
            </w:r>
            <w:r>
              <w:rPr>
                <w:rFonts w:hint="eastAsia" w:ascii="宋体" w:hAnsi="宋体" w:eastAsia="宋体" w:cs="宋体"/>
                <w:bCs w:val="0"/>
                <w:spacing w:val="0"/>
                <w:kern w:val="2"/>
                <w:sz w:val="21"/>
                <w:szCs w:val="21"/>
                <w:lang w:val="en-US" w:eastAsia="zh-CN" w:bidi="ar-SA"/>
              </w:rPr>
              <w:t>月目标监视记录包括：1.年度质量目标完成情况统计表；2.年度环境目标、指标及管理方案完成情况登记表；3.职业健康安全目标、指标及管理方案完成情况登记表；均有相应的统计数据记录，更新及时，责任人明确，符合监视和更新要求。</w:t>
            </w:r>
          </w:p>
        </w:tc>
        <w:tc>
          <w:tcPr>
            <w:tcW w:w="1134" w:type="dxa"/>
          </w:tcPr>
          <w:p>
            <w:pPr>
              <w:spacing w:line="360" w:lineRule="auto"/>
              <w:rPr>
                <w:rFonts w:hint="eastAsia" w:ascii="宋体" w:hAnsi="宋体" w:eastAsia="宋体" w:cs="宋体"/>
                <w:color w:val="FF0000"/>
                <w:sz w:val="21"/>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848" w:type="dxa"/>
          </w:tcPr>
          <w:p>
            <w:pPr>
              <w:spacing w:line="360" w:lineRule="auto"/>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人员及其能力和意识</w:t>
            </w:r>
          </w:p>
        </w:tc>
        <w:tc>
          <w:tcPr>
            <w:tcW w:w="1272" w:type="dxa"/>
          </w:tcPr>
          <w:p>
            <w:pPr>
              <w:spacing w:line="360" w:lineRule="auto"/>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Q7.1.2/</w:t>
            </w:r>
          </w:p>
          <w:p>
            <w:pPr>
              <w:spacing w:line="360" w:lineRule="auto"/>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EO7.2/7.3</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tc>
        <w:tc>
          <w:tcPr>
            <w:tcW w:w="10455" w:type="dxa"/>
            <w:vAlign w:val="center"/>
          </w:tcPr>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w:t>
            </w:r>
            <w:r>
              <w:rPr>
                <w:rFonts w:hint="eastAsia" w:ascii="宋体" w:hAnsi="宋体" w:cs="宋体"/>
                <w:sz w:val="21"/>
                <w:szCs w:val="21"/>
                <w:lang w:val="en-US" w:eastAsia="zh-CN"/>
              </w:rPr>
              <w:t>综合部</w:t>
            </w:r>
            <w:r>
              <w:rPr>
                <w:rFonts w:hint="eastAsia" w:ascii="宋体" w:hAnsi="宋体" w:eastAsia="宋体" w:cs="宋体"/>
                <w:sz w:val="21"/>
                <w:szCs w:val="21"/>
                <w:lang w:val="en-US" w:eastAsia="zh-CN"/>
              </w:rPr>
              <w:t>负责人</w:t>
            </w:r>
            <w:r>
              <w:rPr>
                <w:rFonts w:hint="eastAsia" w:ascii="宋体" w:hAnsi="宋体" w:cs="宋体"/>
                <w:sz w:val="21"/>
                <w:szCs w:val="21"/>
                <w:lang w:val="en-US" w:eastAsia="zh-CN"/>
              </w:rPr>
              <w:t>邢英杰</w:t>
            </w:r>
            <w:r>
              <w:rPr>
                <w:rFonts w:hint="eastAsia" w:ascii="宋体" w:hAnsi="宋体" w:eastAsia="宋体" w:cs="宋体"/>
                <w:sz w:val="21"/>
                <w:szCs w:val="21"/>
                <w:lang w:val="en-US" w:eastAsia="zh-CN"/>
              </w:rPr>
              <w:t>沟通，</w:t>
            </w:r>
            <w:r>
              <w:rPr>
                <w:rFonts w:hint="eastAsia" w:ascii="宋体" w:hAnsi="宋体" w:cs="宋体"/>
                <w:sz w:val="21"/>
                <w:szCs w:val="21"/>
                <w:lang w:val="en-US" w:eastAsia="zh-CN"/>
              </w:rPr>
              <w:t>综合部</w:t>
            </w:r>
            <w:r>
              <w:rPr>
                <w:rFonts w:hint="eastAsia" w:ascii="宋体" w:hAnsi="宋体" w:eastAsia="宋体" w:cs="宋体"/>
                <w:sz w:val="21"/>
                <w:szCs w:val="21"/>
                <w:lang w:val="en-US" w:eastAsia="zh-CN"/>
              </w:rPr>
              <w:t>根据各部门的需要配备管理体系运行所需的人员，人员均经过相关培训，配置充分，基本能够满足体系运行需求。</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组织对各岗位能力规定的要求包括了专业技能、岗位资格、能力、工作经验等。查看《岗位说明书》，要求主要对各部门负责人及关键岗位能力要求分别从教育程度、经验、经历、技能要求等方面进行了规定，抽查</w:t>
            </w: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经理入职要求如下：</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学    历：本科</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工作经历：熟悉人事行政相关工作，了解相关法律法规；</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性    格：有亲和力；</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年    龄：30岁上。</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组织的人员能力确定基本能够满足控制要求。</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drawing>
                <wp:anchor distT="0" distB="0" distL="114300" distR="114300" simplePos="0" relativeHeight="251666432" behindDoc="0" locked="0" layoutInCell="1" allowOverlap="1">
                  <wp:simplePos x="0" y="0"/>
                  <wp:positionH relativeFrom="column">
                    <wp:posOffset>4916805</wp:posOffset>
                  </wp:positionH>
                  <wp:positionV relativeFrom="paragraph">
                    <wp:posOffset>269875</wp:posOffset>
                  </wp:positionV>
                  <wp:extent cx="1539240" cy="1801495"/>
                  <wp:effectExtent l="0" t="0" r="10160" b="1905"/>
                  <wp:wrapNone/>
                  <wp:docPr id="17" name="图片 17" descr="167397237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73972372894"/>
                          <pic:cNvPicPr>
                            <a:picLocks noChangeAspect="1"/>
                          </pic:cNvPicPr>
                        </pic:nvPicPr>
                        <pic:blipFill>
                          <a:blip r:embed="rId8"/>
                          <a:stretch>
                            <a:fillRect/>
                          </a:stretch>
                        </pic:blipFill>
                        <pic:spPr>
                          <a:xfrm>
                            <a:off x="0" y="0"/>
                            <a:ext cx="1539240" cy="1801495"/>
                          </a:xfrm>
                          <a:prstGeom prst="rect">
                            <a:avLst/>
                          </a:prstGeom>
                        </pic:spPr>
                      </pic:pic>
                    </a:graphicData>
                  </a:graphic>
                </wp:anchor>
              </w:drawing>
            </w:r>
            <w:r>
              <w:rPr>
                <w:rFonts w:hint="eastAsia" w:ascii="宋体" w:hAnsi="宋体" w:eastAsia="宋体" w:cs="宋体"/>
                <w:bCs w:val="0"/>
                <w:spacing w:val="0"/>
                <w:kern w:val="2"/>
                <w:sz w:val="21"/>
                <w:szCs w:val="21"/>
                <w:lang w:val="en-US" w:eastAsia="zh-CN" w:bidi="ar-SA"/>
              </w:rPr>
              <w:drawing>
                <wp:anchor distT="0" distB="0" distL="114300" distR="114300" simplePos="0" relativeHeight="251665408" behindDoc="0" locked="0" layoutInCell="1" allowOverlap="1">
                  <wp:simplePos x="0" y="0"/>
                  <wp:positionH relativeFrom="column">
                    <wp:posOffset>3388995</wp:posOffset>
                  </wp:positionH>
                  <wp:positionV relativeFrom="paragraph">
                    <wp:posOffset>275590</wp:posOffset>
                  </wp:positionV>
                  <wp:extent cx="1597660" cy="1799590"/>
                  <wp:effectExtent l="0" t="0" r="2540" b="3810"/>
                  <wp:wrapNone/>
                  <wp:docPr id="16" name="图片 16" descr="167397232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73972323652"/>
                          <pic:cNvPicPr>
                            <a:picLocks noChangeAspect="1"/>
                          </pic:cNvPicPr>
                        </pic:nvPicPr>
                        <pic:blipFill>
                          <a:blip r:embed="rId9"/>
                          <a:stretch>
                            <a:fillRect/>
                          </a:stretch>
                        </pic:blipFill>
                        <pic:spPr>
                          <a:xfrm>
                            <a:off x="0" y="0"/>
                            <a:ext cx="1597660" cy="1799590"/>
                          </a:xfrm>
                          <a:prstGeom prst="rect">
                            <a:avLst/>
                          </a:prstGeom>
                        </pic:spPr>
                      </pic:pic>
                    </a:graphicData>
                  </a:graphic>
                </wp:anchor>
              </w:drawing>
            </w:r>
            <w:r>
              <w:rPr>
                <w:rFonts w:hint="eastAsia" w:ascii="宋体" w:hAnsi="宋体" w:eastAsia="宋体" w:cs="宋体"/>
                <w:bCs w:val="0"/>
                <w:spacing w:val="0"/>
                <w:kern w:val="2"/>
                <w:sz w:val="21"/>
                <w:szCs w:val="21"/>
                <w:lang w:val="en-US" w:eastAsia="zh-CN" w:bidi="ar-SA"/>
              </w:rPr>
              <w:drawing>
                <wp:anchor distT="0" distB="0" distL="114300" distR="114300" simplePos="0" relativeHeight="251663360" behindDoc="0" locked="0" layoutInCell="1" allowOverlap="1">
                  <wp:simplePos x="0" y="0"/>
                  <wp:positionH relativeFrom="column">
                    <wp:posOffset>292100</wp:posOffset>
                  </wp:positionH>
                  <wp:positionV relativeFrom="paragraph">
                    <wp:posOffset>262890</wp:posOffset>
                  </wp:positionV>
                  <wp:extent cx="1661160" cy="1805305"/>
                  <wp:effectExtent l="0" t="0" r="2540" b="10795"/>
                  <wp:wrapNone/>
                  <wp:docPr id="14" name="图片 14" descr="167397198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3971984205"/>
                          <pic:cNvPicPr>
                            <a:picLocks noChangeAspect="1"/>
                          </pic:cNvPicPr>
                        </pic:nvPicPr>
                        <pic:blipFill>
                          <a:blip r:embed="rId10"/>
                          <a:stretch>
                            <a:fillRect/>
                          </a:stretch>
                        </pic:blipFill>
                        <pic:spPr>
                          <a:xfrm>
                            <a:off x="0" y="0"/>
                            <a:ext cx="1661160" cy="1805305"/>
                          </a:xfrm>
                          <a:prstGeom prst="rect">
                            <a:avLst/>
                          </a:prstGeom>
                        </pic:spPr>
                      </pic:pic>
                    </a:graphicData>
                  </a:graphic>
                </wp:anchor>
              </w:drawing>
            </w:r>
            <w:r>
              <w:rPr>
                <w:rFonts w:hint="eastAsia" w:ascii="宋体" w:hAnsi="宋体" w:eastAsia="宋体" w:cs="宋体"/>
                <w:bCs w:val="0"/>
                <w:spacing w:val="0"/>
                <w:kern w:val="2"/>
                <w:sz w:val="21"/>
                <w:szCs w:val="21"/>
                <w:lang w:val="en-US" w:eastAsia="zh-CN" w:bidi="ar-SA"/>
              </w:rPr>
              <w:t>抽查培训计划和培训实施记录如下：</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drawing>
                <wp:anchor distT="0" distB="0" distL="114300" distR="114300" simplePos="0" relativeHeight="251664384" behindDoc="0" locked="0" layoutInCell="1" allowOverlap="1">
                  <wp:simplePos x="0" y="0"/>
                  <wp:positionH relativeFrom="column">
                    <wp:posOffset>1958975</wp:posOffset>
                  </wp:positionH>
                  <wp:positionV relativeFrom="paragraph">
                    <wp:posOffset>53975</wp:posOffset>
                  </wp:positionV>
                  <wp:extent cx="1452880" cy="1735455"/>
                  <wp:effectExtent l="0" t="0" r="7620" b="4445"/>
                  <wp:wrapNone/>
                  <wp:docPr id="15" name="图片 15" descr="167397223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73972232840"/>
                          <pic:cNvPicPr>
                            <a:picLocks noChangeAspect="1"/>
                          </pic:cNvPicPr>
                        </pic:nvPicPr>
                        <pic:blipFill>
                          <a:blip r:embed="rId11"/>
                          <a:stretch>
                            <a:fillRect/>
                          </a:stretch>
                        </pic:blipFill>
                        <pic:spPr>
                          <a:xfrm>
                            <a:off x="0" y="0"/>
                            <a:ext cx="1452880" cy="1735455"/>
                          </a:xfrm>
                          <a:prstGeom prst="rect">
                            <a:avLst/>
                          </a:prstGeom>
                        </pic:spPr>
                      </pic:pic>
                    </a:graphicData>
                  </a:graphic>
                </wp:anchor>
              </w:drawing>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培训实施记录与培训计划基本一致，基本符合标准要求。</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drawing>
                <wp:anchor distT="0" distB="0" distL="114300" distR="114300" simplePos="0" relativeHeight="251676672" behindDoc="0" locked="0" layoutInCell="1" allowOverlap="1">
                  <wp:simplePos x="0" y="0"/>
                  <wp:positionH relativeFrom="column">
                    <wp:posOffset>1104265</wp:posOffset>
                  </wp:positionH>
                  <wp:positionV relativeFrom="paragraph">
                    <wp:posOffset>42545</wp:posOffset>
                  </wp:positionV>
                  <wp:extent cx="1235075" cy="1713865"/>
                  <wp:effectExtent l="0" t="0" r="635" b="9525"/>
                  <wp:wrapNone/>
                  <wp:docPr id="2" name="图片 2" descr="微信图片_2023011811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118110129"/>
                          <pic:cNvPicPr>
                            <a:picLocks noChangeAspect="1"/>
                          </pic:cNvPicPr>
                        </pic:nvPicPr>
                        <pic:blipFill>
                          <a:blip r:embed="rId12"/>
                          <a:stretch>
                            <a:fillRect/>
                          </a:stretch>
                        </pic:blipFill>
                        <pic:spPr>
                          <a:xfrm rot="16200000">
                            <a:off x="0" y="0"/>
                            <a:ext cx="1235075" cy="1713865"/>
                          </a:xfrm>
                          <a:prstGeom prst="rect">
                            <a:avLst/>
                          </a:prstGeom>
                        </pic:spPr>
                      </pic:pic>
                    </a:graphicData>
                  </a:graphic>
                </wp:anchor>
              </w:drawing>
            </w:r>
            <w:r>
              <w:rPr>
                <w:rFonts w:hint="eastAsia" w:ascii="宋体" w:hAnsi="宋体" w:eastAsia="宋体" w:cs="宋体"/>
                <w:bCs w:val="0"/>
                <w:spacing w:val="0"/>
                <w:kern w:val="2"/>
                <w:sz w:val="21"/>
                <w:szCs w:val="21"/>
                <w:lang w:val="en-US" w:eastAsia="zh-CN" w:bidi="ar-SA"/>
              </w:rPr>
              <w:drawing>
                <wp:anchor distT="0" distB="0" distL="114300" distR="114300" simplePos="0" relativeHeight="251678720" behindDoc="0" locked="0" layoutInCell="1" allowOverlap="1">
                  <wp:simplePos x="0" y="0"/>
                  <wp:positionH relativeFrom="column">
                    <wp:posOffset>4570095</wp:posOffset>
                  </wp:positionH>
                  <wp:positionV relativeFrom="paragraph">
                    <wp:posOffset>23495</wp:posOffset>
                  </wp:positionV>
                  <wp:extent cx="1236980" cy="1722120"/>
                  <wp:effectExtent l="0" t="0" r="5080" b="7620"/>
                  <wp:wrapNone/>
                  <wp:docPr id="5" name="图片 5" descr="微信图片_20230118110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1181105033"/>
                          <pic:cNvPicPr>
                            <a:picLocks noChangeAspect="1"/>
                          </pic:cNvPicPr>
                        </pic:nvPicPr>
                        <pic:blipFill>
                          <a:blip r:embed="rId13"/>
                          <a:srcRect t="26729" b="8948"/>
                          <a:stretch>
                            <a:fillRect/>
                          </a:stretch>
                        </pic:blipFill>
                        <pic:spPr>
                          <a:xfrm rot="16200000">
                            <a:off x="0" y="0"/>
                            <a:ext cx="1236980" cy="1722120"/>
                          </a:xfrm>
                          <a:prstGeom prst="rect">
                            <a:avLst/>
                          </a:prstGeom>
                        </pic:spPr>
                      </pic:pic>
                    </a:graphicData>
                  </a:graphic>
                </wp:anchor>
              </w:drawing>
            </w:r>
            <w:r>
              <w:rPr>
                <w:rFonts w:hint="eastAsia" w:ascii="宋体" w:hAnsi="宋体" w:eastAsia="宋体" w:cs="宋体"/>
                <w:bCs w:val="0"/>
                <w:spacing w:val="0"/>
                <w:kern w:val="2"/>
                <w:sz w:val="21"/>
                <w:szCs w:val="21"/>
                <w:lang w:val="en-US" w:eastAsia="zh-CN" w:bidi="ar-SA"/>
              </w:rPr>
              <w:drawing>
                <wp:anchor distT="0" distB="0" distL="114300" distR="114300" simplePos="0" relativeHeight="251677696" behindDoc="0" locked="0" layoutInCell="1" allowOverlap="1">
                  <wp:simplePos x="0" y="0"/>
                  <wp:positionH relativeFrom="column">
                    <wp:posOffset>2827655</wp:posOffset>
                  </wp:positionH>
                  <wp:positionV relativeFrom="paragraph">
                    <wp:posOffset>52070</wp:posOffset>
                  </wp:positionV>
                  <wp:extent cx="1226185" cy="1680210"/>
                  <wp:effectExtent l="0" t="0" r="8890" b="5715"/>
                  <wp:wrapNone/>
                  <wp:docPr id="6" name="图片 6" descr="微信图片_20230118110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1181105032"/>
                          <pic:cNvPicPr>
                            <a:picLocks noChangeAspect="1"/>
                          </pic:cNvPicPr>
                        </pic:nvPicPr>
                        <pic:blipFill>
                          <a:blip r:embed="rId14"/>
                          <a:srcRect l="14154" t="26729" b="18929"/>
                          <a:stretch>
                            <a:fillRect/>
                          </a:stretch>
                        </pic:blipFill>
                        <pic:spPr>
                          <a:xfrm rot="16200000">
                            <a:off x="0" y="0"/>
                            <a:ext cx="1226185" cy="1680210"/>
                          </a:xfrm>
                          <a:prstGeom prst="rect">
                            <a:avLst/>
                          </a:prstGeom>
                        </pic:spPr>
                      </pic:pic>
                    </a:graphicData>
                  </a:graphic>
                </wp:anchor>
              </w:drawing>
            </w:r>
            <w:r>
              <w:rPr>
                <w:rFonts w:hint="eastAsia" w:ascii="宋体" w:hAnsi="宋体" w:eastAsia="宋体" w:cs="宋体"/>
                <w:bCs w:val="0"/>
                <w:spacing w:val="0"/>
                <w:kern w:val="2"/>
                <w:sz w:val="21"/>
                <w:szCs w:val="21"/>
                <w:lang w:val="en-US" w:eastAsia="zh-CN" w:bidi="ar-SA"/>
              </w:rPr>
              <w:drawing>
                <wp:anchor distT="0" distB="0" distL="114300" distR="114300" simplePos="0" relativeHeight="251675648" behindDoc="0" locked="0" layoutInCell="1" allowOverlap="1">
                  <wp:simplePos x="0" y="0"/>
                  <wp:positionH relativeFrom="column">
                    <wp:posOffset>8890</wp:posOffset>
                  </wp:positionH>
                  <wp:positionV relativeFrom="paragraph">
                    <wp:posOffset>281940</wp:posOffset>
                  </wp:positionV>
                  <wp:extent cx="864235" cy="1237615"/>
                  <wp:effectExtent l="0" t="0" r="12065" b="6985"/>
                  <wp:wrapNone/>
                  <wp:docPr id="4" name="图片 4" descr="微信图片_2023011811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118110128"/>
                          <pic:cNvPicPr>
                            <a:picLocks noChangeAspect="1"/>
                          </pic:cNvPicPr>
                        </pic:nvPicPr>
                        <pic:blipFill>
                          <a:blip r:embed="rId15"/>
                          <a:srcRect r="9927"/>
                          <a:stretch>
                            <a:fillRect/>
                          </a:stretch>
                        </pic:blipFill>
                        <pic:spPr>
                          <a:xfrm>
                            <a:off x="0" y="0"/>
                            <a:ext cx="864235" cy="1237615"/>
                          </a:xfrm>
                          <a:prstGeom prst="rect">
                            <a:avLst/>
                          </a:prstGeom>
                        </pic:spPr>
                      </pic:pic>
                    </a:graphicData>
                  </a:graphic>
                </wp:anchor>
              </w:drawing>
            </w:r>
            <w:r>
              <w:rPr>
                <w:rFonts w:hint="eastAsia" w:ascii="宋体" w:hAnsi="宋体" w:eastAsia="宋体" w:cs="宋体"/>
                <w:bCs w:val="0"/>
                <w:spacing w:val="0"/>
                <w:kern w:val="2"/>
                <w:sz w:val="21"/>
                <w:szCs w:val="21"/>
                <w:lang w:val="en-US" w:eastAsia="zh-CN" w:bidi="ar-SA"/>
              </w:rPr>
              <w:t>查看组织人员能力证书</w:t>
            </w:r>
            <w:r>
              <w:rPr>
                <w:rFonts w:hint="eastAsia" w:ascii="宋体" w:hAnsi="宋体" w:cs="宋体"/>
                <w:bCs w:val="0"/>
                <w:spacing w:val="0"/>
                <w:kern w:val="2"/>
                <w:sz w:val="21"/>
                <w:szCs w:val="21"/>
                <w:lang w:val="en-US" w:eastAsia="zh-CN" w:bidi="ar-SA"/>
              </w:rPr>
              <w:t>提供有检定员、检测员、电工证书，人员均经培训考核合格上岗，</w:t>
            </w:r>
            <w:r>
              <w:rPr>
                <w:rFonts w:hint="eastAsia" w:ascii="宋体" w:hAnsi="宋体" w:eastAsia="宋体" w:cs="宋体"/>
                <w:bCs w:val="0"/>
                <w:spacing w:val="0"/>
                <w:kern w:val="2"/>
                <w:sz w:val="21"/>
                <w:szCs w:val="21"/>
                <w:lang w:val="en-US" w:eastAsia="zh-CN" w:bidi="ar-SA"/>
              </w:rPr>
              <w:t>满足要求，抽查内容如下：</w:t>
            </w:r>
          </w:p>
          <w:p>
            <w:pPr>
              <w:pStyle w:val="11"/>
              <w:rPr>
                <w:rFonts w:hint="eastAsia" w:ascii="宋体" w:hAnsi="宋体" w:eastAsia="宋体" w:cs="宋体"/>
                <w:bCs w:val="0"/>
                <w:spacing w:val="0"/>
                <w:kern w:val="2"/>
                <w:sz w:val="21"/>
                <w:szCs w:val="21"/>
                <w:lang w:val="en-US" w:eastAsia="zh-CN" w:bidi="ar-SA"/>
              </w:rPr>
            </w:pPr>
          </w:p>
          <w:p>
            <w:pPr>
              <w:pStyle w:val="11"/>
              <w:rPr>
                <w:rFonts w:hint="eastAsia" w:ascii="宋体" w:hAnsi="宋体" w:eastAsia="宋体" w:cs="宋体"/>
                <w:bCs w:val="0"/>
                <w:spacing w:val="0"/>
                <w:kern w:val="2"/>
                <w:sz w:val="21"/>
                <w:szCs w:val="21"/>
                <w:lang w:val="en-US" w:eastAsia="zh-CN" w:bidi="ar-SA"/>
              </w:rPr>
            </w:pPr>
          </w:p>
          <w:p>
            <w:pPr>
              <w:pStyle w:val="11"/>
              <w:rPr>
                <w:rFonts w:hint="eastAsia" w:ascii="宋体" w:hAnsi="宋体" w:eastAsia="宋体" w:cs="宋体"/>
                <w:bCs w:val="0"/>
                <w:spacing w:val="0"/>
                <w:kern w:val="2"/>
                <w:sz w:val="21"/>
                <w:szCs w:val="21"/>
                <w:lang w:val="en-US" w:eastAsia="zh-CN" w:bidi="ar-SA"/>
              </w:rPr>
            </w:pPr>
          </w:p>
          <w:p>
            <w:pPr>
              <w:pStyle w:val="11"/>
              <w:rPr>
                <w:rFonts w:hint="eastAsia" w:ascii="宋体" w:hAnsi="宋体" w:eastAsia="宋体" w:cs="宋体"/>
                <w:bCs w:val="0"/>
                <w:spacing w:val="0"/>
                <w:kern w:val="2"/>
                <w:sz w:val="21"/>
                <w:szCs w:val="21"/>
                <w:lang w:val="en-US" w:eastAsia="zh-CN" w:bidi="ar-SA"/>
              </w:rPr>
            </w:pPr>
          </w:p>
          <w:p>
            <w:pPr>
              <w:pStyle w:val="11"/>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drawing>
                <wp:anchor distT="0" distB="0" distL="114300" distR="114300" simplePos="0" relativeHeight="251681792" behindDoc="0" locked="0" layoutInCell="1" allowOverlap="1">
                  <wp:simplePos x="0" y="0"/>
                  <wp:positionH relativeFrom="column">
                    <wp:posOffset>4357370</wp:posOffset>
                  </wp:positionH>
                  <wp:positionV relativeFrom="paragraph">
                    <wp:posOffset>-96520</wp:posOffset>
                  </wp:positionV>
                  <wp:extent cx="1351915" cy="1977390"/>
                  <wp:effectExtent l="0" t="0" r="3810" b="6985"/>
                  <wp:wrapNone/>
                  <wp:docPr id="9" name="图片 9" descr="微信图片_20230118110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1181105031"/>
                          <pic:cNvPicPr>
                            <a:picLocks noChangeAspect="1"/>
                          </pic:cNvPicPr>
                        </pic:nvPicPr>
                        <pic:blipFill>
                          <a:blip r:embed="rId16"/>
                          <a:srcRect t="6160" b="10267"/>
                          <a:stretch>
                            <a:fillRect/>
                          </a:stretch>
                        </pic:blipFill>
                        <pic:spPr>
                          <a:xfrm rot="16200000">
                            <a:off x="0" y="0"/>
                            <a:ext cx="1351915" cy="1977390"/>
                          </a:xfrm>
                          <a:prstGeom prst="rect">
                            <a:avLst/>
                          </a:prstGeom>
                        </pic:spPr>
                      </pic:pic>
                    </a:graphicData>
                  </a:graphic>
                </wp:anchor>
              </w:drawing>
            </w:r>
            <w:r>
              <w:rPr>
                <w:rFonts w:hint="eastAsia" w:ascii="宋体" w:hAnsi="宋体" w:eastAsia="宋体" w:cs="宋体"/>
                <w:bCs w:val="0"/>
                <w:spacing w:val="0"/>
                <w:kern w:val="2"/>
                <w:sz w:val="21"/>
                <w:szCs w:val="21"/>
                <w:lang w:val="en-US" w:eastAsia="zh-CN" w:bidi="ar-SA"/>
              </w:rPr>
              <w:drawing>
                <wp:anchor distT="0" distB="0" distL="114300" distR="114300" simplePos="0" relativeHeight="251682816" behindDoc="0" locked="0" layoutInCell="1" allowOverlap="1">
                  <wp:simplePos x="0" y="0"/>
                  <wp:positionH relativeFrom="column">
                    <wp:posOffset>2908300</wp:posOffset>
                  </wp:positionH>
                  <wp:positionV relativeFrom="paragraph">
                    <wp:posOffset>213360</wp:posOffset>
                  </wp:positionV>
                  <wp:extent cx="1087755" cy="1336040"/>
                  <wp:effectExtent l="0" t="0" r="4445" b="10160"/>
                  <wp:wrapNone/>
                  <wp:docPr id="10" name="图片 10" descr="微信图片_2023011811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118110503"/>
                          <pic:cNvPicPr>
                            <a:picLocks noChangeAspect="1"/>
                          </pic:cNvPicPr>
                        </pic:nvPicPr>
                        <pic:blipFill>
                          <a:blip r:embed="rId17"/>
                          <a:srcRect r="6932" b="35763"/>
                          <a:stretch>
                            <a:fillRect/>
                          </a:stretch>
                        </pic:blipFill>
                        <pic:spPr>
                          <a:xfrm>
                            <a:off x="0" y="0"/>
                            <a:ext cx="1087755" cy="1336040"/>
                          </a:xfrm>
                          <a:prstGeom prst="rect">
                            <a:avLst/>
                          </a:prstGeom>
                        </pic:spPr>
                      </pic:pic>
                    </a:graphicData>
                  </a:graphic>
                </wp:anchor>
              </w:drawing>
            </w:r>
            <w:r>
              <w:rPr>
                <w:rFonts w:hint="eastAsia" w:ascii="宋体" w:hAnsi="宋体" w:eastAsia="宋体" w:cs="宋体"/>
                <w:bCs w:val="0"/>
                <w:spacing w:val="0"/>
                <w:kern w:val="2"/>
                <w:sz w:val="21"/>
                <w:szCs w:val="21"/>
                <w:lang w:val="en-US" w:eastAsia="zh-CN" w:bidi="ar-SA"/>
              </w:rPr>
              <w:drawing>
                <wp:anchor distT="0" distB="0" distL="114300" distR="114300" simplePos="0" relativeHeight="251680768" behindDoc="0" locked="0" layoutInCell="1" allowOverlap="1">
                  <wp:simplePos x="0" y="0"/>
                  <wp:positionH relativeFrom="column">
                    <wp:posOffset>1022350</wp:posOffset>
                  </wp:positionH>
                  <wp:positionV relativeFrom="paragraph">
                    <wp:posOffset>207645</wp:posOffset>
                  </wp:positionV>
                  <wp:extent cx="1862455" cy="1360805"/>
                  <wp:effectExtent l="0" t="0" r="4445" b="10795"/>
                  <wp:wrapNone/>
                  <wp:docPr id="7" name="图片 7" descr="微信图片_20230118110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1181101292"/>
                          <pic:cNvPicPr>
                            <a:picLocks noChangeAspect="1"/>
                          </pic:cNvPicPr>
                        </pic:nvPicPr>
                        <pic:blipFill>
                          <a:blip r:embed="rId18"/>
                          <a:stretch>
                            <a:fillRect/>
                          </a:stretch>
                        </pic:blipFill>
                        <pic:spPr>
                          <a:xfrm>
                            <a:off x="0" y="0"/>
                            <a:ext cx="1862455" cy="1360805"/>
                          </a:xfrm>
                          <a:prstGeom prst="rect">
                            <a:avLst/>
                          </a:prstGeom>
                        </pic:spPr>
                      </pic:pic>
                    </a:graphicData>
                  </a:graphic>
                </wp:anchor>
              </w:drawing>
            </w:r>
            <w:r>
              <w:rPr>
                <w:rFonts w:hint="eastAsia" w:ascii="宋体" w:hAnsi="宋体" w:eastAsia="宋体" w:cs="宋体"/>
                <w:bCs w:val="0"/>
                <w:spacing w:val="0"/>
                <w:kern w:val="2"/>
                <w:sz w:val="21"/>
                <w:szCs w:val="21"/>
                <w:lang w:val="en-US" w:eastAsia="zh-CN" w:bidi="ar-SA"/>
              </w:rPr>
              <w:drawing>
                <wp:anchor distT="0" distB="0" distL="114300" distR="114300" simplePos="0" relativeHeight="251679744" behindDoc="0" locked="0" layoutInCell="1" allowOverlap="1">
                  <wp:simplePos x="0" y="0"/>
                  <wp:positionH relativeFrom="column">
                    <wp:posOffset>-163195</wp:posOffset>
                  </wp:positionH>
                  <wp:positionV relativeFrom="paragraph">
                    <wp:posOffset>387350</wp:posOffset>
                  </wp:positionV>
                  <wp:extent cx="1356995" cy="1005205"/>
                  <wp:effectExtent l="0" t="0" r="10795" b="1905"/>
                  <wp:wrapNone/>
                  <wp:docPr id="8" name="图片 8" descr="微信图片_20230118110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1181101291"/>
                          <pic:cNvPicPr>
                            <a:picLocks noChangeAspect="1"/>
                          </pic:cNvPicPr>
                        </pic:nvPicPr>
                        <pic:blipFill>
                          <a:blip r:embed="rId19"/>
                          <a:srcRect l="8890" t="10026"/>
                          <a:stretch>
                            <a:fillRect/>
                          </a:stretch>
                        </pic:blipFill>
                        <pic:spPr>
                          <a:xfrm rot="5400000">
                            <a:off x="0" y="0"/>
                            <a:ext cx="1356995" cy="1005205"/>
                          </a:xfrm>
                          <a:prstGeom prst="rect">
                            <a:avLst/>
                          </a:prstGeom>
                        </pic:spPr>
                      </pic:pic>
                    </a:graphicData>
                  </a:graphic>
                </wp:anchor>
              </w:drawing>
            </w:r>
          </w:p>
          <w:p>
            <w:pPr>
              <w:pStyle w:val="11"/>
              <w:rPr>
                <w:rFonts w:hint="eastAsia" w:ascii="宋体" w:hAnsi="宋体" w:eastAsia="宋体" w:cs="宋体"/>
                <w:bCs w:val="0"/>
                <w:spacing w:val="0"/>
                <w:kern w:val="2"/>
                <w:sz w:val="21"/>
                <w:szCs w:val="21"/>
                <w:lang w:val="en-US" w:eastAsia="zh-CN" w:bidi="ar-SA"/>
              </w:rPr>
            </w:pPr>
          </w:p>
          <w:p>
            <w:pPr>
              <w:pStyle w:val="11"/>
              <w:rPr>
                <w:rFonts w:hint="eastAsia" w:ascii="宋体" w:hAnsi="宋体" w:eastAsia="宋体" w:cs="宋体"/>
                <w:bCs w:val="0"/>
                <w:spacing w:val="0"/>
                <w:kern w:val="2"/>
                <w:sz w:val="21"/>
                <w:szCs w:val="21"/>
                <w:lang w:val="en-US" w:eastAsia="zh-CN" w:bidi="ar-SA"/>
              </w:rPr>
            </w:pPr>
          </w:p>
          <w:p>
            <w:pPr>
              <w:pStyle w:val="11"/>
              <w:rPr>
                <w:rFonts w:hint="eastAsia" w:ascii="宋体" w:hAnsi="宋体" w:eastAsia="宋体" w:cs="宋体"/>
                <w:bCs w:val="0"/>
                <w:spacing w:val="0"/>
                <w:kern w:val="2"/>
                <w:sz w:val="21"/>
                <w:szCs w:val="21"/>
                <w:lang w:val="en-US" w:eastAsia="zh-CN" w:bidi="ar-SA"/>
              </w:rPr>
            </w:pPr>
          </w:p>
          <w:p>
            <w:pPr>
              <w:pStyle w:val="11"/>
              <w:rPr>
                <w:rFonts w:hint="eastAsia" w:ascii="宋体" w:hAnsi="宋体" w:eastAsia="宋体" w:cs="宋体"/>
                <w:bCs w:val="0"/>
                <w:spacing w:val="0"/>
                <w:kern w:val="2"/>
                <w:sz w:val="21"/>
                <w:szCs w:val="21"/>
                <w:lang w:val="en-US" w:eastAsia="zh-CN" w:bidi="ar-SA"/>
              </w:rPr>
            </w:pPr>
          </w:p>
          <w:p>
            <w:pPr>
              <w:pStyle w:val="11"/>
              <w:rPr>
                <w:rFonts w:hint="eastAsia" w:ascii="宋体" w:hAnsi="宋体" w:eastAsia="宋体" w:cs="宋体"/>
                <w:bCs w:val="0"/>
                <w:spacing w:val="0"/>
                <w:kern w:val="2"/>
                <w:sz w:val="21"/>
                <w:szCs w:val="21"/>
                <w:lang w:val="en-US" w:eastAsia="zh-CN" w:bidi="ar-SA"/>
              </w:rPr>
            </w:pP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drawing>
                <wp:anchor distT="0" distB="0" distL="114300" distR="114300" simplePos="0" relativeHeight="251685888" behindDoc="0" locked="0" layoutInCell="1" allowOverlap="1">
                  <wp:simplePos x="0" y="0"/>
                  <wp:positionH relativeFrom="column">
                    <wp:posOffset>3881120</wp:posOffset>
                  </wp:positionH>
                  <wp:positionV relativeFrom="paragraph">
                    <wp:posOffset>-273050</wp:posOffset>
                  </wp:positionV>
                  <wp:extent cx="1674495" cy="2223135"/>
                  <wp:effectExtent l="0" t="0" r="12065" b="1905"/>
                  <wp:wrapNone/>
                  <wp:docPr id="19" name="图片 19" descr="2ff9a9176921097e15882e97a19d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ff9a9176921097e15882e97a19d2ab"/>
                          <pic:cNvPicPr>
                            <a:picLocks noChangeAspect="1"/>
                          </pic:cNvPicPr>
                        </pic:nvPicPr>
                        <pic:blipFill>
                          <a:blip r:embed="rId20"/>
                          <a:srcRect t="11583" b="28784"/>
                          <a:stretch>
                            <a:fillRect/>
                          </a:stretch>
                        </pic:blipFill>
                        <pic:spPr>
                          <a:xfrm rot="16200000">
                            <a:off x="0" y="0"/>
                            <a:ext cx="1674495" cy="2223135"/>
                          </a:xfrm>
                          <a:prstGeom prst="rect">
                            <a:avLst/>
                          </a:prstGeom>
                        </pic:spPr>
                      </pic:pic>
                    </a:graphicData>
                  </a:graphic>
                </wp:anchor>
              </w:drawing>
            </w:r>
            <w:r>
              <w:rPr>
                <w:rFonts w:hint="eastAsia" w:ascii="宋体" w:hAnsi="宋体" w:eastAsia="宋体" w:cs="宋体"/>
                <w:bCs w:val="0"/>
                <w:spacing w:val="0"/>
                <w:kern w:val="2"/>
                <w:sz w:val="21"/>
                <w:szCs w:val="21"/>
                <w:lang w:val="en-US" w:eastAsia="zh-CN" w:bidi="ar-SA"/>
              </w:rPr>
              <w:drawing>
                <wp:anchor distT="0" distB="0" distL="114300" distR="114300" simplePos="0" relativeHeight="251684864" behindDoc="0" locked="0" layoutInCell="1" allowOverlap="1">
                  <wp:simplePos x="0" y="0"/>
                  <wp:positionH relativeFrom="column">
                    <wp:posOffset>1630045</wp:posOffset>
                  </wp:positionH>
                  <wp:positionV relativeFrom="paragraph">
                    <wp:posOffset>-263525</wp:posOffset>
                  </wp:positionV>
                  <wp:extent cx="1635125" cy="2181860"/>
                  <wp:effectExtent l="0" t="0" r="2540" b="3175"/>
                  <wp:wrapNone/>
                  <wp:docPr id="18" name="图片 18" descr="9bed5f6f15685ed9df3fa5301ec9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bed5f6f15685ed9df3fa5301ec91e5"/>
                          <pic:cNvPicPr>
                            <a:picLocks noChangeAspect="1"/>
                          </pic:cNvPicPr>
                        </pic:nvPicPr>
                        <pic:blipFill>
                          <a:blip r:embed="rId21"/>
                          <a:stretch>
                            <a:fillRect/>
                          </a:stretch>
                        </pic:blipFill>
                        <pic:spPr>
                          <a:xfrm rot="16200000">
                            <a:off x="0" y="0"/>
                            <a:ext cx="1635125" cy="2181860"/>
                          </a:xfrm>
                          <a:prstGeom prst="rect">
                            <a:avLst/>
                          </a:prstGeom>
                        </pic:spPr>
                      </pic:pic>
                    </a:graphicData>
                  </a:graphic>
                </wp:anchor>
              </w:drawing>
            </w:r>
            <w:r>
              <w:rPr>
                <w:rFonts w:hint="eastAsia" w:ascii="宋体" w:hAnsi="宋体" w:eastAsia="宋体" w:cs="宋体"/>
                <w:bCs w:val="0"/>
                <w:spacing w:val="0"/>
                <w:kern w:val="2"/>
                <w:sz w:val="21"/>
                <w:szCs w:val="21"/>
                <w:lang w:val="en-US" w:eastAsia="zh-CN" w:bidi="ar-SA"/>
              </w:rPr>
              <w:drawing>
                <wp:anchor distT="0" distB="0" distL="114300" distR="114300" simplePos="0" relativeHeight="251683840" behindDoc="0" locked="0" layoutInCell="1" allowOverlap="1">
                  <wp:simplePos x="0" y="0"/>
                  <wp:positionH relativeFrom="column">
                    <wp:posOffset>9525</wp:posOffset>
                  </wp:positionH>
                  <wp:positionV relativeFrom="paragraph">
                    <wp:posOffset>18415</wp:posOffset>
                  </wp:positionV>
                  <wp:extent cx="1320165" cy="1623695"/>
                  <wp:effectExtent l="0" t="0" r="635" b="1905"/>
                  <wp:wrapNone/>
                  <wp:docPr id="11" name="图片 11" descr="b05c28f250e4de76e13904288ee8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05c28f250e4de76e13904288ee8adf"/>
                          <pic:cNvPicPr>
                            <a:picLocks noChangeAspect="1"/>
                          </pic:cNvPicPr>
                        </pic:nvPicPr>
                        <pic:blipFill>
                          <a:blip r:embed="rId22"/>
                          <a:srcRect t="11197" r="3694"/>
                          <a:stretch>
                            <a:fillRect/>
                          </a:stretch>
                        </pic:blipFill>
                        <pic:spPr>
                          <a:xfrm>
                            <a:off x="0" y="0"/>
                            <a:ext cx="1320165" cy="1623695"/>
                          </a:xfrm>
                          <a:prstGeom prst="rect">
                            <a:avLst/>
                          </a:prstGeom>
                        </pic:spPr>
                      </pic:pic>
                    </a:graphicData>
                  </a:graphic>
                </wp:anchor>
              </w:drawing>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与</w:t>
            </w: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负责人</w:t>
            </w:r>
            <w:r>
              <w:rPr>
                <w:rFonts w:hint="eastAsia" w:ascii="宋体" w:hAnsi="宋体" w:cs="宋体"/>
                <w:bCs w:val="0"/>
                <w:spacing w:val="0"/>
                <w:kern w:val="2"/>
                <w:sz w:val="21"/>
                <w:szCs w:val="21"/>
                <w:lang w:val="en-US" w:eastAsia="zh-CN" w:bidi="ar-SA"/>
              </w:rPr>
              <w:t>邢英杰</w:t>
            </w:r>
            <w:r>
              <w:rPr>
                <w:rFonts w:hint="eastAsia" w:ascii="宋体" w:hAnsi="宋体" w:eastAsia="宋体" w:cs="宋体"/>
                <w:bCs w:val="0"/>
                <w:spacing w:val="0"/>
                <w:kern w:val="2"/>
                <w:sz w:val="21"/>
                <w:szCs w:val="21"/>
                <w:lang w:val="en-US" w:eastAsia="zh-CN" w:bidi="ar-SA"/>
              </w:rPr>
              <w:t>沟通，其对组织方针和所在工作岗位的质量、环境、职业健康安全目标基本熟悉，也了解自己的工作效益会影响组织质量、环境、职业健康安全管理体系的有效运行。</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负责人</w:t>
            </w:r>
            <w:r>
              <w:rPr>
                <w:rFonts w:hint="eastAsia" w:ascii="宋体" w:hAnsi="宋体" w:cs="宋体"/>
                <w:bCs w:val="0"/>
                <w:spacing w:val="0"/>
                <w:kern w:val="2"/>
                <w:sz w:val="21"/>
                <w:szCs w:val="21"/>
                <w:lang w:val="en-US" w:eastAsia="zh-CN" w:bidi="ar-SA"/>
              </w:rPr>
              <w:t>邢英杰</w:t>
            </w:r>
            <w:r>
              <w:rPr>
                <w:rFonts w:hint="eastAsia" w:ascii="宋体" w:hAnsi="宋体" w:eastAsia="宋体" w:cs="宋体"/>
                <w:bCs w:val="0"/>
                <w:spacing w:val="0"/>
                <w:kern w:val="2"/>
                <w:sz w:val="21"/>
                <w:szCs w:val="21"/>
                <w:lang w:val="en-US" w:eastAsia="zh-CN" w:bidi="ar-SA"/>
              </w:rPr>
              <w:t>介绍：组织通过培训学习、宣传等方法使在组织控制范围内的相关工作人员了解到：质量、环境、职业健康安全方针的意义；熟悉相关的质量、环境、职业健康安全目标；员工对质量、环境、职业健康安全管理体系有效性的贡献包括改进质量环境绩效的益处；不符合质量</w:t>
            </w:r>
            <w:r>
              <w:rPr>
                <w:rFonts w:hint="eastAsia" w:ascii="宋体" w:hAnsi="宋体" w:cs="宋体"/>
                <w:bCs w:val="0"/>
                <w:spacing w:val="0"/>
                <w:kern w:val="2"/>
                <w:sz w:val="21"/>
                <w:szCs w:val="21"/>
                <w:lang w:val="en-US" w:eastAsia="zh-CN" w:bidi="ar-SA"/>
              </w:rPr>
              <w:t>、</w:t>
            </w:r>
            <w:r>
              <w:rPr>
                <w:rFonts w:hint="eastAsia" w:ascii="宋体" w:hAnsi="宋体" w:eastAsia="宋体" w:cs="宋体"/>
                <w:bCs w:val="0"/>
                <w:spacing w:val="0"/>
                <w:kern w:val="2"/>
                <w:sz w:val="21"/>
                <w:szCs w:val="21"/>
                <w:lang w:val="en-US" w:eastAsia="zh-CN" w:bidi="ar-SA"/>
              </w:rPr>
              <w:t>环境和职业健康安全管理体系要求的后果。</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bCs w:val="0"/>
                <w:spacing w:val="0"/>
                <w:kern w:val="2"/>
                <w:sz w:val="21"/>
                <w:szCs w:val="21"/>
                <w:lang w:val="en-US" w:eastAsia="zh-CN" w:bidi="ar-SA"/>
              </w:rPr>
              <w:t>组织员工具备基本的质量意识、环保意识和职业健康安全意识，满足要求。</w:t>
            </w:r>
          </w:p>
        </w:tc>
        <w:tc>
          <w:tcPr>
            <w:tcW w:w="1134" w:type="dxa"/>
          </w:tcPr>
          <w:p>
            <w:pPr>
              <w:spacing w:line="360" w:lineRule="auto"/>
              <w:rPr>
                <w:rFonts w:hint="eastAsia" w:ascii="宋体" w:hAnsi="宋体" w:eastAsia="宋体" w:cs="宋体"/>
                <w:color w:val="FF0000"/>
                <w:sz w:val="21"/>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1848" w:type="dxa"/>
          </w:tcPr>
          <w:p>
            <w:pPr>
              <w:spacing w:line="360" w:lineRule="auto"/>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组织的知识</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tc>
        <w:tc>
          <w:tcPr>
            <w:tcW w:w="1272" w:type="dxa"/>
          </w:tcPr>
          <w:p>
            <w:pPr>
              <w:spacing w:line="360" w:lineRule="auto"/>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Q7.1.6</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tc>
        <w:tc>
          <w:tcPr>
            <w:tcW w:w="10455" w:type="dxa"/>
            <w:vAlign w:val="center"/>
          </w:tcPr>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与</w:t>
            </w: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负责人</w:t>
            </w:r>
            <w:r>
              <w:rPr>
                <w:rFonts w:hint="eastAsia" w:ascii="宋体" w:hAnsi="宋体" w:cs="宋体"/>
                <w:bCs w:val="0"/>
                <w:spacing w:val="0"/>
                <w:kern w:val="2"/>
                <w:sz w:val="21"/>
                <w:szCs w:val="21"/>
                <w:lang w:val="en-US" w:eastAsia="zh-CN" w:bidi="ar-SA"/>
              </w:rPr>
              <w:t>邢英杰</w:t>
            </w:r>
            <w:r>
              <w:rPr>
                <w:rFonts w:hint="eastAsia" w:ascii="宋体" w:hAnsi="宋体" w:eastAsia="宋体" w:cs="宋体"/>
                <w:bCs w:val="0"/>
                <w:spacing w:val="0"/>
                <w:kern w:val="2"/>
                <w:sz w:val="21"/>
                <w:szCs w:val="21"/>
                <w:lang w:val="en-US" w:eastAsia="zh-CN" w:bidi="ar-SA"/>
              </w:rPr>
              <w:t>沟通，组织确定了运行过程所需的知识，包括内部来源：组织运作准则（管理手册、程序文件、管理制度、作业记录等）、管理过程控制失败和成功项目吸取的经验教训和改进的结果等；外部来源：外来资料（如顾客反馈的信息、质量、技术规范</w:t>
            </w:r>
            <w:r>
              <w:rPr>
                <w:rFonts w:hint="eastAsia" w:ascii="宋体" w:hAnsi="宋体" w:cs="宋体"/>
                <w:bCs w:val="0"/>
                <w:spacing w:val="0"/>
                <w:kern w:val="2"/>
                <w:sz w:val="21"/>
                <w:szCs w:val="21"/>
                <w:lang w:val="en-US" w:eastAsia="zh-CN" w:bidi="ar-SA"/>
              </w:rPr>
              <w:t>、质量标准等</w:t>
            </w:r>
            <w:r>
              <w:rPr>
                <w:rFonts w:hint="eastAsia" w:ascii="宋体" w:hAnsi="宋体" w:eastAsia="宋体" w:cs="宋体"/>
                <w:bCs w:val="0"/>
                <w:spacing w:val="0"/>
                <w:kern w:val="2"/>
                <w:sz w:val="21"/>
                <w:szCs w:val="21"/>
                <w:lang w:val="en-US" w:eastAsia="zh-CN" w:bidi="ar-SA"/>
              </w:rPr>
              <w:t>）、法律法规、市场信息等。</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xml:space="preserve">对知识的保持采取文件资料的保存和信息系统存储等方式，在组织内部通过传递、交流、培训等方式共享。为获取更多必要的知识，组织采用了工作经验总结、顾客意见的采集，行业领先者的最佳实践调查等，并在一定范围内和程度上实现即时更新，基本满足要求。  </w:t>
            </w:r>
          </w:p>
        </w:tc>
        <w:tc>
          <w:tcPr>
            <w:tcW w:w="1134" w:type="dxa"/>
          </w:tcPr>
          <w:p>
            <w:pPr>
              <w:spacing w:line="360" w:lineRule="auto"/>
              <w:rPr>
                <w:rFonts w:hint="eastAsia" w:ascii="宋体" w:hAnsi="宋体" w:eastAsia="宋体" w:cs="宋体"/>
                <w:color w:val="FF0000"/>
                <w:sz w:val="21"/>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48" w:type="dxa"/>
            <w:vAlign w:val="top"/>
          </w:tcPr>
          <w:p>
            <w:pPr>
              <w:spacing w:line="360" w:lineRule="auto"/>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成文信息</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tc>
        <w:tc>
          <w:tcPr>
            <w:tcW w:w="1272" w:type="dxa"/>
            <w:vAlign w:val="top"/>
          </w:tcPr>
          <w:p>
            <w:pPr>
              <w:spacing w:line="360" w:lineRule="auto"/>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QEO7.5</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p>
        </w:tc>
        <w:tc>
          <w:tcPr>
            <w:tcW w:w="10455" w:type="dxa"/>
            <w:vAlign w:val="center"/>
          </w:tcPr>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组织形成了文件化的管理手册、程序文件、三级管理制度文件以及所要求的相关记录。编制的程序文件基本符合标准的所有过程控制要求，过程相互关系在手册中作了简图描述，记录表单能够满足目前的体系运行需求。具体如下：</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一级文件：YJS/QEO-SC-2020-A/0《质量/环境/职业健康安全</w:t>
            </w:r>
            <w:r>
              <w:rPr>
                <w:rFonts w:hint="eastAsia" w:ascii="宋体" w:hAnsi="宋体" w:cs="宋体"/>
                <w:bCs w:val="0"/>
                <w:spacing w:val="0"/>
                <w:kern w:val="2"/>
                <w:sz w:val="21"/>
                <w:szCs w:val="21"/>
                <w:lang w:val="en-US" w:eastAsia="zh-CN" w:bidi="ar-SA"/>
              </w:rPr>
              <w:t xml:space="preserve"> </w:t>
            </w:r>
            <w:r>
              <w:rPr>
                <w:rFonts w:hint="eastAsia" w:ascii="宋体" w:hAnsi="宋体" w:eastAsia="宋体" w:cs="宋体"/>
                <w:bCs w:val="0"/>
                <w:spacing w:val="0"/>
                <w:kern w:val="2"/>
                <w:sz w:val="21"/>
                <w:szCs w:val="21"/>
                <w:lang w:val="en-US" w:eastAsia="zh-CN" w:bidi="ar-SA"/>
              </w:rPr>
              <w:t>管理手册》；版本号：A/0；编制：编写小组</w:t>
            </w:r>
            <w:r>
              <w:rPr>
                <w:rFonts w:hint="eastAsia" w:ascii="宋体" w:hAnsi="宋体" w:cs="宋体"/>
                <w:bCs w:val="0"/>
                <w:spacing w:val="0"/>
                <w:kern w:val="2"/>
                <w:sz w:val="21"/>
                <w:szCs w:val="21"/>
                <w:lang w:val="en-US" w:eastAsia="zh-CN" w:bidi="ar-SA"/>
              </w:rPr>
              <w:t>，</w:t>
            </w:r>
            <w:r>
              <w:rPr>
                <w:rFonts w:hint="eastAsia" w:ascii="宋体" w:hAnsi="宋体" w:eastAsia="宋体" w:cs="宋体"/>
                <w:bCs w:val="0"/>
                <w:spacing w:val="0"/>
                <w:kern w:val="2"/>
                <w:sz w:val="21"/>
                <w:szCs w:val="21"/>
                <w:lang w:val="en-US" w:eastAsia="zh-CN" w:bidi="ar-SA"/>
              </w:rPr>
              <w:t xml:space="preserve">       </w:t>
            </w:r>
          </w:p>
          <w:p>
            <w:pPr>
              <w:spacing w:line="360" w:lineRule="auto"/>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审核：黄蓉玉</w:t>
            </w:r>
            <w:r>
              <w:rPr>
                <w:rFonts w:hint="eastAsia" w:ascii="宋体" w:hAnsi="宋体" w:cs="宋体"/>
                <w:bCs w:val="0"/>
                <w:spacing w:val="0"/>
                <w:kern w:val="2"/>
                <w:sz w:val="21"/>
                <w:szCs w:val="21"/>
                <w:lang w:val="en-US" w:eastAsia="zh-CN" w:bidi="ar-SA"/>
              </w:rPr>
              <w:t>，</w:t>
            </w:r>
            <w:r>
              <w:rPr>
                <w:rFonts w:hint="eastAsia" w:ascii="宋体" w:hAnsi="宋体" w:eastAsia="宋体" w:cs="宋体"/>
                <w:bCs w:val="0"/>
                <w:spacing w:val="0"/>
                <w:kern w:val="2"/>
                <w:sz w:val="21"/>
                <w:szCs w:val="21"/>
                <w:lang w:val="en-US" w:eastAsia="zh-CN" w:bidi="ar-SA"/>
              </w:rPr>
              <w:t>批准：王国洪。</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二级文件：包括《文件信息控制程序》等共28个，覆盖了质量、环境、职业健康安全标准要求的所有文件化过程，其《文件信息控制程序》对管理体系记录的标识、贮存、保护、检索、保存期限和处置等作了明确规定，符合要求。</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三层次文件：管理制度、作业指导书、操作规范。</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四级文件包括：内审记录、管理评审记录、危险源和环境因素识别评价记录等。明确了记录名称、编号、使用保存部门、保存期限等，并经审核后使用。组织各记录由各使用部门保存。</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抽查归档文件整理情况，</w:t>
            </w: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已将文件进行了分类，按文件的名称、编号及时间装文件袋进行归档，文件较清洁，字迹清晰，检索方便，抽查</w:t>
            </w: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保存的记录包括内部审核资料、管理评审资料等，均已装订成册，归档文件、记录存放于通风、干燥、防蛀的文件柜内，环境干燥、通风，符合文件归档及防护的要求。</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抽查文件发放记录：</w:t>
            </w: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2020年07月05日有质量、环境、职业健康安全等相关的三层次管理制度文件文件的下发回收记录。</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cs="宋体"/>
                <w:bCs w:val="0"/>
                <w:spacing w:val="0"/>
                <w:kern w:val="2"/>
                <w:sz w:val="21"/>
                <w:szCs w:val="21"/>
                <w:lang w:val="en-US" w:eastAsia="zh-CN" w:bidi="ar-SA"/>
              </w:rPr>
              <w:t>综合部</w:t>
            </w:r>
            <w:r>
              <w:rPr>
                <w:rFonts w:hint="eastAsia" w:ascii="宋体" w:hAnsi="宋体" w:eastAsia="宋体" w:cs="宋体"/>
                <w:bCs w:val="0"/>
                <w:spacing w:val="0"/>
                <w:kern w:val="2"/>
                <w:sz w:val="21"/>
                <w:szCs w:val="21"/>
                <w:lang w:val="en-US" w:eastAsia="zh-CN" w:bidi="ar-SA"/>
              </w:rPr>
              <w:t>负责人</w:t>
            </w:r>
            <w:r>
              <w:rPr>
                <w:rFonts w:hint="eastAsia" w:ascii="宋体" w:hAnsi="宋体" w:cs="宋体"/>
                <w:bCs w:val="0"/>
                <w:spacing w:val="0"/>
                <w:kern w:val="2"/>
                <w:sz w:val="21"/>
                <w:szCs w:val="21"/>
                <w:lang w:val="en-US" w:eastAsia="zh-CN" w:bidi="ar-SA"/>
              </w:rPr>
              <w:t>邢英杰</w:t>
            </w:r>
            <w:r>
              <w:rPr>
                <w:rFonts w:hint="eastAsia" w:ascii="宋体" w:hAnsi="宋体" w:eastAsia="宋体" w:cs="宋体"/>
                <w:bCs w:val="0"/>
                <w:spacing w:val="0"/>
                <w:kern w:val="2"/>
                <w:sz w:val="21"/>
                <w:szCs w:val="21"/>
                <w:lang w:val="en-US" w:eastAsia="zh-CN" w:bidi="ar-SA"/>
              </w:rPr>
              <w:t>介绍：组织的记录原件原则上不外借，其它记录查阅时须有关部门同意后，方可查阅。</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查外来文件：组织识别了与产品要求和质量管理体系运行有关的国家法律法规及标准、行业、地方颁布的条例、标准、规范、规程、办法等，如《中华人民共和国产品质量法》、《中华人民共和国计量法》、AQ1054-2008隔绝式压缩氧气自救器、JJG257-2007浮子流量计、JB/T9284-1999频率表、JJG 603-2018频率表检定规程、JJG678-2007催化燃烧式甲烷测定器、JJG1093-2013矿用一氧化碳检测报警器、JJF1587-2016数字多用表校准规范 等等，验证上次不符合已整改，</w:t>
            </w:r>
            <w:r>
              <w:rPr>
                <w:rFonts w:hint="eastAsia" w:ascii="宋体" w:hAnsi="宋体" w:eastAsia="宋体" w:cs="宋体"/>
                <w:b w:val="0"/>
                <w:bCs w:val="0"/>
                <w:spacing w:val="0"/>
                <w:kern w:val="2"/>
                <w:sz w:val="21"/>
                <w:szCs w:val="21"/>
                <w:lang w:val="en-US" w:eastAsia="zh-CN" w:bidi="ar-SA"/>
              </w:rPr>
              <w:t>查有效文件一览表（外来）完整，覆盖组织适用的法律法规和标准内容，措施有效</w:t>
            </w:r>
            <w:r>
              <w:rPr>
                <w:rFonts w:hint="eastAsia" w:ascii="宋体" w:hAnsi="宋体" w:eastAsia="宋体" w:cs="宋体"/>
                <w:bCs w:val="0"/>
                <w:spacing w:val="0"/>
                <w:kern w:val="2"/>
                <w:sz w:val="21"/>
                <w:szCs w:val="21"/>
                <w:lang w:val="en-US" w:eastAsia="zh-CN" w:bidi="ar-SA"/>
              </w:rPr>
              <w:t>；识别了环境管理体系运行有关的国家法律法规及标准、行业、地方颁布的条例、标准、规范、规程、办法等，如综合类的《中华人民共和国环境保护法》、固体废弃物类的《固体废物污染环境防治法》、噪声类的《工业企业厂界环境噪声排放标准》、危险化学品类的《危险化学品安全管理条例》等；识别了职业健康安全管理体系运行有关的国家法律法规及标准、行业、地方颁布的条例、标准、规范、规程、办法等，如《中华人民共和国安全生产法》、《工作场所职业病危害警示标志》等，组织识别的适用法律法规和标准内容基本完整，与生产实际吻合，能够满足要求。</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变更：暂无记录。</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作废：暂无记录。</w:t>
            </w:r>
          </w:p>
          <w:p>
            <w:pPr>
              <w:spacing w:line="360" w:lineRule="auto"/>
              <w:ind w:firstLine="420" w:firstLineChars="200"/>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综上，组织的文件、记录等的控制基本有效。</w:t>
            </w:r>
          </w:p>
        </w:tc>
        <w:tc>
          <w:tcPr>
            <w:tcW w:w="1134" w:type="dxa"/>
          </w:tcPr>
          <w:p>
            <w:pPr>
              <w:spacing w:line="360" w:lineRule="auto"/>
              <w:rPr>
                <w:rFonts w:hint="eastAsia" w:ascii="宋体" w:hAnsi="宋体" w:eastAsia="宋体" w:cs="宋体"/>
                <w:color w:val="FF0000"/>
                <w:sz w:val="21"/>
                <w:szCs w:val="21"/>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48" w:type="dxa"/>
            <w:vAlign w:val="top"/>
          </w:tcPr>
          <w:p>
            <w:pPr>
              <w:spacing w:line="360" w:lineRule="auto"/>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运行的策划和控制</w:t>
            </w:r>
          </w:p>
        </w:tc>
        <w:tc>
          <w:tcPr>
            <w:tcW w:w="1272" w:type="dxa"/>
            <w:vAlign w:val="top"/>
          </w:tcPr>
          <w:p>
            <w:pPr>
              <w:spacing w:line="360" w:lineRule="auto"/>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E08.1</w:t>
            </w:r>
          </w:p>
        </w:tc>
        <w:tc>
          <w:tcPr>
            <w:tcW w:w="10455" w:type="dxa"/>
            <w:vAlign w:val="center"/>
          </w:tcPr>
          <w:p>
            <w:pPr>
              <w:spacing w:line="360" w:lineRule="auto"/>
              <w:ind w:firstLine="420" w:firstLineChars="200"/>
              <w:jc w:val="left"/>
              <w:rPr>
                <w:rFonts w:hint="eastAsia"/>
                <w:lang w:val="en-US" w:eastAsia="zh-CN"/>
              </w:rPr>
            </w:pPr>
            <w:r>
              <w:rPr>
                <w:rFonts w:hint="eastAsia"/>
                <w:lang w:val="en-US" w:eastAsia="zh-CN"/>
              </w:rPr>
              <w:t>组织制定了《环境运行控制程序》、《职业健康安全控制程序》等过程控制准则，根据准则要求，综合部负责对固体废弃物、潜在火灾等经营活动过程中重要环境因素采取控制措施的监督管理以及对相关方环境表现情况的监督管理；对经营活动过程中潜在的不安全隐患和健康危害并采取控制措施的监督管理以及对相关方职业健康表现的监督管理。</w:t>
            </w:r>
          </w:p>
          <w:p>
            <w:pPr>
              <w:spacing w:line="360" w:lineRule="auto"/>
              <w:ind w:firstLine="420" w:firstLineChars="200"/>
              <w:jc w:val="left"/>
              <w:rPr>
                <w:rFonts w:hint="eastAsia"/>
                <w:lang w:val="en-US" w:eastAsia="zh-CN"/>
              </w:rPr>
            </w:pPr>
            <w:r>
              <w:rPr>
                <w:rFonts w:hint="eastAsia"/>
                <w:lang w:val="en-US" w:eastAsia="zh-CN"/>
              </w:rPr>
              <w:t>公司的环境因素为办公用废纸由回收公司进行回收、硒鼓由供应商进行回收，以旧换新。</w:t>
            </w:r>
          </w:p>
          <w:p>
            <w:pPr>
              <w:spacing w:line="360" w:lineRule="auto"/>
              <w:ind w:firstLine="420" w:firstLineChars="200"/>
              <w:jc w:val="left"/>
              <w:rPr>
                <w:rFonts w:hint="eastAsia"/>
                <w:lang w:val="en-US" w:eastAsia="zh-CN"/>
              </w:rPr>
            </w:pPr>
            <w:r>
              <w:rPr>
                <w:rFonts w:hint="eastAsia"/>
                <w:lang w:val="en-US" w:eastAsia="zh-CN"/>
              </w:rPr>
              <w:t>查看《环境/安全检查记录表》</w:t>
            </w:r>
          </w:p>
          <w:p>
            <w:pPr>
              <w:spacing w:line="360" w:lineRule="auto"/>
              <w:ind w:firstLine="420" w:firstLineChars="200"/>
              <w:jc w:val="left"/>
              <w:rPr>
                <w:rFonts w:hint="eastAsia"/>
                <w:lang w:val="en-US" w:eastAsia="zh-CN"/>
              </w:rPr>
            </w:pPr>
            <w:r>
              <w:rPr>
                <w:rFonts w:hint="eastAsia"/>
                <w:lang w:val="en-US" w:eastAsia="zh-CN"/>
              </w:rPr>
              <w:t>检查时间：2022年11月28日；</w:t>
            </w:r>
          </w:p>
          <w:p>
            <w:pPr>
              <w:spacing w:line="360" w:lineRule="auto"/>
              <w:ind w:firstLine="420" w:firstLineChars="200"/>
              <w:jc w:val="left"/>
              <w:rPr>
                <w:rFonts w:hint="eastAsia"/>
                <w:lang w:val="en-US" w:eastAsia="zh-CN"/>
              </w:rPr>
            </w:pPr>
            <w:r>
              <w:rPr>
                <w:rFonts w:hint="eastAsia"/>
                <w:lang w:val="en-US" w:eastAsia="zh-CN"/>
              </w:rPr>
              <w:t>检查项目：办公废水、办公固废丢弃、水电消耗、安全检查、一般因素等。</w:t>
            </w:r>
          </w:p>
          <w:p>
            <w:pPr>
              <w:spacing w:line="360" w:lineRule="auto"/>
              <w:ind w:firstLine="420" w:firstLineChars="200"/>
              <w:jc w:val="left"/>
              <w:rPr>
                <w:rFonts w:hint="eastAsia"/>
                <w:lang w:val="en-US" w:eastAsia="zh-CN"/>
              </w:rPr>
            </w:pPr>
            <w:r>
              <w:rPr>
                <w:rFonts w:hint="eastAsia"/>
                <w:lang w:val="en-US" w:eastAsia="zh-CN"/>
              </w:rPr>
              <w:t xml:space="preserve">检查情况：业务方面没有问题。 </w:t>
            </w:r>
          </w:p>
          <w:p>
            <w:pPr>
              <w:spacing w:line="360" w:lineRule="auto"/>
              <w:ind w:firstLine="420" w:firstLineChars="200"/>
              <w:jc w:val="left"/>
              <w:rPr>
                <w:rFonts w:hint="eastAsia"/>
                <w:lang w:val="en-US" w:eastAsia="zh-CN"/>
              </w:rPr>
            </w:pPr>
            <w:r>
              <w:rPr>
                <w:rFonts w:hint="eastAsia"/>
                <w:lang w:val="en-US" w:eastAsia="zh-CN"/>
              </w:rPr>
              <w:t xml:space="preserve">检查人员：邢英杰    </w:t>
            </w:r>
          </w:p>
          <w:p>
            <w:pPr>
              <w:spacing w:line="360" w:lineRule="auto"/>
              <w:ind w:firstLine="420" w:firstLineChars="200"/>
              <w:jc w:val="left"/>
              <w:rPr>
                <w:rFonts w:hint="eastAsia"/>
                <w:lang w:val="en-US" w:eastAsia="zh-CN"/>
              </w:rPr>
            </w:pPr>
            <w:r>
              <w:rPr>
                <w:rFonts w:hint="eastAsia"/>
                <w:lang w:val="en-US" w:eastAsia="zh-CN"/>
              </w:rPr>
              <w:t>抽查2022年10月13日的检查表，检查人：邢英杰。检查项目共6项：目测综合部内照明、电线、管线是否有老化破皮现象，办公环境是否干净整洁。门窗是否完好。消防器材封存是否完好。综合部人员是否知道逃生通道，是否对来访客人进行告知等。</w:t>
            </w:r>
          </w:p>
          <w:p>
            <w:pPr>
              <w:spacing w:line="360" w:lineRule="auto"/>
              <w:ind w:firstLine="420" w:firstLineChars="200"/>
              <w:jc w:val="left"/>
              <w:rPr>
                <w:rFonts w:hint="eastAsia"/>
                <w:lang w:val="en-US" w:eastAsia="zh-CN"/>
              </w:rPr>
            </w:pPr>
            <w:r>
              <w:rPr>
                <w:rFonts w:hint="eastAsia"/>
                <w:lang w:val="en-US" w:eastAsia="zh-CN"/>
              </w:rPr>
              <w:t>抽查-固体废物处理记录   编号：JL-7.7-03</w:t>
            </w:r>
          </w:p>
          <w:p>
            <w:pPr>
              <w:spacing w:line="360" w:lineRule="auto"/>
              <w:ind w:firstLine="420" w:firstLineChars="200"/>
              <w:jc w:val="left"/>
              <w:rPr>
                <w:rFonts w:hint="eastAsia"/>
                <w:lang w:val="en-US" w:eastAsia="zh-CN"/>
              </w:rPr>
            </w:pPr>
            <w:r>
              <w:rPr>
                <w:rFonts w:hint="eastAsia"/>
                <w:lang w:val="en-US" w:eastAsia="zh-CN"/>
              </w:rPr>
              <w:t>时间2022.8.18 废纸  1.5Kg 处理方式：公司回收。</w:t>
            </w:r>
          </w:p>
          <w:p>
            <w:pPr>
              <w:spacing w:line="360" w:lineRule="auto"/>
              <w:ind w:firstLine="420" w:firstLineChars="200"/>
              <w:jc w:val="left"/>
              <w:rPr>
                <w:rFonts w:hint="eastAsia"/>
                <w:lang w:val="en-US" w:eastAsia="zh-CN"/>
              </w:rPr>
            </w:pPr>
            <w:r>
              <w:rPr>
                <w:rFonts w:hint="eastAsia"/>
                <w:lang w:val="en-US" w:eastAsia="zh-CN"/>
              </w:rPr>
              <w:t>时间2022.11.5硒鼓  1个 处理方式：供应商以旧换新。</w:t>
            </w:r>
          </w:p>
          <w:p>
            <w:pPr>
              <w:spacing w:line="360" w:lineRule="auto"/>
              <w:ind w:firstLine="420" w:firstLineChars="200"/>
              <w:jc w:val="left"/>
              <w:rPr>
                <w:rFonts w:hint="eastAsia"/>
                <w:lang w:val="en-US" w:eastAsia="zh-CN"/>
              </w:rPr>
            </w:pPr>
            <w:r>
              <w:rPr>
                <w:rFonts w:hint="eastAsia"/>
                <w:lang w:val="en-US" w:eastAsia="zh-CN"/>
              </w:rPr>
              <w:t>在风险控制方面策划了：风险和机遇控制程序、环境绩效检测控制程序管理制度、应急准备及响应程序等。</w:t>
            </w:r>
          </w:p>
          <w:p>
            <w:pPr>
              <w:spacing w:line="360" w:lineRule="auto"/>
              <w:ind w:firstLine="420" w:firstLineChars="200"/>
              <w:jc w:val="left"/>
              <w:rPr>
                <w:rFonts w:hint="eastAsia"/>
                <w:lang w:val="en-US" w:eastAsia="zh-CN"/>
              </w:rPr>
            </w:pPr>
            <w:r>
              <w:rPr>
                <w:rFonts w:hint="eastAsia"/>
                <w:lang w:val="en-US" w:eastAsia="zh-CN"/>
              </w:rPr>
              <w:t>查体系运行检查记录表</w:t>
            </w:r>
          </w:p>
          <w:p>
            <w:pPr>
              <w:spacing w:line="360" w:lineRule="auto"/>
              <w:ind w:firstLine="420" w:firstLineChars="200"/>
              <w:jc w:val="left"/>
              <w:rPr>
                <w:rFonts w:hint="eastAsia"/>
                <w:lang w:val="en-US" w:eastAsia="zh-CN"/>
              </w:rPr>
            </w:pPr>
            <w:r>
              <w:rPr>
                <w:rFonts w:hint="eastAsia"/>
                <w:lang w:val="en-US" w:eastAsia="zh-CN"/>
              </w:rPr>
              <w:t>检查内容：疫情期间职业健康安全保护用品（口罩）发放情况、职业健康教育情况、临时用电情况、物品存放、固体废物分类情况、现场垃圾排放情况、办公楼固体废物分类处置情况、灭火器配置情况等。</w:t>
            </w:r>
          </w:p>
          <w:p>
            <w:pPr>
              <w:spacing w:line="360" w:lineRule="auto"/>
              <w:ind w:firstLine="420" w:firstLineChars="200"/>
              <w:jc w:val="left"/>
              <w:rPr>
                <w:rFonts w:hint="eastAsia"/>
                <w:lang w:val="en-US" w:eastAsia="zh-CN"/>
              </w:rPr>
            </w:pPr>
            <w:r>
              <w:rPr>
                <w:rFonts w:hint="eastAsia"/>
                <w:lang w:val="en-US" w:eastAsia="zh-CN"/>
              </w:rPr>
              <w:t>检查人：邢英杰</w:t>
            </w:r>
          </w:p>
          <w:p>
            <w:pPr>
              <w:spacing w:line="360" w:lineRule="auto"/>
              <w:ind w:firstLine="420" w:firstLineChars="200"/>
              <w:jc w:val="left"/>
              <w:rPr>
                <w:rFonts w:hint="eastAsia"/>
                <w:lang w:val="en-US" w:eastAsia="zh-CN"/>
              </w:rPr>
            </w:pPr>
            <w:r>
              <w:rPr>
                <w:rFonts w:hint="eastAsia"/>
                <w:lang w:val="en-US" w:eastAsia="zh-CN"/>
              </w:rPr>
              <w:t>检查日期：2022年11月30日</w:t>
            </w:r>
          </w:p>
          <w:p>
            <w:pPr>
              <w:spacing w:line="360" w:lineRule="auto"/>
              <w:ind w:firstLine="420" w:firstLineChars="200"/>
              <w:jc w:val="left"/>
              <w:rPr>
                <w:rFonts w:hint="eastAsia"/>
                <w:lang w:val="en-US" w:eastAsia="zh-CN"/>
              </w:rPr>
            </w:pPr>
            <w:r>
              <w:rPr>
                <w:rFonts w:hint="eastAsia"/>
                <w:lang w:val="en-US" w:eastAsia="zh-CN"/>
              </w:rPr>
              <w:t>提供防护用品发放标准和发放记录（2022年7月和10月），发放记录显示，发放人、领用人、领用用品名称、数量、时间等均有清晰记载，现场查看车间各岗位工作人员，均有佩戴相应的防护用品，符合要求。</w:t>
            </w:r>
          </w:p>
          <w:p>
            <w:pPr>
              <w:pStyle w:val="11"/>
              <w:rPr>
                <w:rFonts w:hint="eastAsia"/>
                <w:lang w:val="en-US"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260350</wp:posOffset>
                  </wp:positionH>
                  <wp:positionV relativeFrom="paragraph">
                    <wp:posOffset>3810</wp:posOffset>
                  </wp:positionV>
                  <wp:extent cx="951865" cy="1558925"/>
                  <wp:effectExtent l="0" t="0" r="635" b="3175"/>
                  <wp:wrapNone/>
                  <wp:docPr id="24" name="图片 24" descr="167397560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73975601466"/>
                          <pic:cNvPicPr>
                            <a:picLocks noChangeAspect="1"/>
                          </pic:cNvPicPr>
                        </pic:nvPicPr>
                        <pic:blipFill>
                          <a:blip r:embed="rId23"/>
                          <a:stretch>
                            <a:fillRect/>
                          </a:stretch>
                        </pic:blipFill>
                        <pic:spPr>
                          <a:xfrm>
                            <a:off x="0" y="0"/>
                            <a:ext cx="951865" cy="1558925"/>
                          </a:xfrm>
                          <a:prstGeom prst="rect">
                            <a:avLst/>
                          </a:prstGeom>
                        </pic:spPr>
                      </pic:pic>
                    </a:graphicData>
                  </a:graphic>
                </wp:anchor>
              </w:drawing>
            </w:r>
          </w:p>
          <w:p>
            <w:pPr>
              <w:pStyle w:val="11"/>
              <w:rPr>
                <w:rFonts w:hint="eastAsia"/>
                <w:lang w:val="en-US" w:eastAsia="zh-CN"/>
              </w:rPr>
            </w:pPr>
          </w:p>
          <w:p>
            <w:pPr>
              <w:pStyle w:val="11"/>
              <w:rPr>
                <w:rFonts w:hint="eastAsia"/>
                <w:lang w:val="en-US" w:eastAsia="zh-CN"/>
              </w:rPr>
            </w:pPr>
          </w:p>
          <w:p>
            <w:pPr>
              <w:pStyle w:val="11"/>
              <w:rPr>
                <w:rFonts w:hint="eastAsia"/>
                <w:lang w:val="en-US" w:eastAsia="zh-CN"/>
              </w:rPr>
            </w:pPr>
          </w:p>
          <w:p>
            <w:pPr>
              <w:pStyle w:val="11"/>
              <w:rPr>
                <w:rFonts w:hint="eastAsia"/>
                <w:lang w:val="en-US" w:eastAsia="zh-CN"/>
              </w:rPr>
            </w:pPr>
          </w:p>
          <w:p>
            <w:pPr>
              <w:pStyle w:val="11"/>
              <w:rPr>
                <w:rFonts w:hint="eastAsia"/>
                <w:lang w:val="en-US" w:eastAsia="zh-CN"/>
              </w:rPr>
            </w:pPr>
          </w:p>
          <w:p>
            <w:pPr>
              <w:adjustRightInd w:val="0"/>
              <w:snapToGrid w:val="0"/>
              <w:spacing w:line="360" w:lineRule="auto"/>
              <w:ind w:right="105" w:rightChars="50" w:firstLine="420" w:firstLineChars="200"/>
              <w:textAlignment w:val="baseline"/>
              <w:rPr>
                <w:rFonts w:hint="eastAsia"/>
                <w:lang w:val="en-US"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2940050</wp:posOffset>
                  </wp:positionH>
                  <wp:positionV relativeFrom="paragraph">
                    <wp:posOffset>230505</wp:posOffset>
                  </wp:positionV>
                  <wp:extent cx="2202180" cy="1176655"/>
                  <wp:effectExtent l="0" t="0" r="7620" b="4445"/>
                  <wp:wrapNone/>
                  <wp:docPr id="26" name="图片 26" descr="167397588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73975886408"/>
                          <pic:cNvPicPr>
                            <a:picLocks noChangeAspect="1"/>
                          </pic:cNvPicPr>
                        </pic:nvPicPr>
                        <pic:blipFill>
                          <a:blip r:embed="rId24"/>
                          <a:stretch>
                            <a:fillRect/>
                          </a:stretch>
                        </pic:blipFill>
                        <pic:spPr>
                          <a:xfrm>
                            <a:off x="0" y="0"/>
                            <a:ext cx="2202180" cy="1176655"/>
                          </a:xfrm>
                          <a:prstGeom prst="rect">
                            <a:avLst/>
                          </a:prstGeom>
                        </pic:spPr>
                      </pic:pic>
                    </a:graphicData>
                  </a:graphic>
                </wp:anchor>
              </w:drawing>
            </w:r>
            <w:r>
              <w:rPr>
                <w:rFonts w:hint="eastAsia"/>
                <w:lang w:val="en-US" w:eastAsia="zh-CN"/>
              </w:rPr>
              <w:drawing>
                <wp:anchor distT="0" distB="0" distL="114300" distR="114300" simplePos="0" relativeHeight="251668480" behindDoc="0" locked="0" layoutInCell="1" allowOverlap="1">
                  <wp:simplePos x="0" y="0"/>
                  <wp:positionH relativeFrom="column">
                    <wp:posOffset>313690</wp:posOffset>
                  </wp:positionH>
                  <wp:positionV relativeFrom="paragraph">
                    <wp:posOffset>237490</wp:posOffset>
                  </wp:positionV>
                  <wp:extent cx="1904365" cy="1202690"/>
                  <wp:effectExtent l="0" t="0" r="635" b="3810"/>
                  <wp:wrapNone/>
                  <wp:docPr id="25" name="图片 25" descr="167397576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73975761365"/>
                          <pic:cNvPicPr>
                            <a:picLocks noChangeAspect="1"/>
                          </pic:cNvPicPr>
                        </pic:nvPicPr>
                        <pic:blipFill>
                          <a:blip r:embed="rId25"/>
                          <a:stretch>
                            <a:fillRect/>
                          </a:stretch>
                        </pic:blipFill>
                        <pic:spPr>
                          <a:xfrm>
                            <a:off x="0" y="0"/>
                            <a:ext cx="1904365" cy="1202690"/>
                          </a:xfrm>
                          <a:prstGeom prst="rect">
                            <a:avLst/>
                          </a:prstGeom>
                        </pic:spPr>
                      </pic:pic>
                    </a:graphicData>
                  </a:graphic>
                </wp:anchor>
              </w:drawing>
            </w:r>
            <w:r>
              <w:rPr>
                <w:rFonts w:hint="eastAsia"/>
                <w:lang w:val="en-US" w:eastAsia="zh-CN"/>
              </w:rPr>
              <w:t>提供2022年度环境安全相关资金投入使用记录：定期给员工缴纳社保，提供有完税证明：</w:t>
            </w:r>
          </w:p>
          <w:p>
            <w:pPr>
              <w:pStyle w:val="11"/>
              <w:rPr>
                <w:rFonts w:hint="eastAsia"/>
                <w:lang w:val="en-US" w:eastAsia="zh-CN"/>
              </w:rPr>
            </w:pPr>
          </w:p>
          <w:p>
            <w:pPr>
              <w:pStyle w:val="11"/>
              <w:rPr>
                <w:rFonts w:hint="eastAsia"/>
                <w:lang w:val="en-US" w:eastAsia="zh-CN"/>
              </w:rPr>
            </w:pPr>
          </w:p>
          <w:p>
            <w:pPr>
              <w:pStyle w:val="11"/>
              <w:rPr>
                <w:rFonts w:hint="eastAsia"/>
                <w:lang w:val="en-US" w:eastAsia="zh-CN"/>
              </w:rPr>
            </w:pPr>
          </w:p>
          <w:p>
            <w:pPr>
              <w:pStyle w:val="11"/>
              <w:rPr>
                <w:rFonts w:hint="eastAsia"/>
                <w:lang w:val="en-US" w:eastAsia="zh-CN"/>
              </w:rPr>
            </w:pPr>
          </w:p>
          <w:p>
            <w:pPr>
              <w:pStyle w:val="11"/>
              <w:rPr>
                <w:rFonts w:hint="eastAsia"/>
                <w:lang w:val="en-US" w:eastAsia="zh-CN"/>
              </w:rPr>
            </w:pPr>
          </w:p>
          <w:p>
            <w:pPr>
              <w:spacing w:line="360" w:lineRule="auto"/>
              <w:ind w:firstLine="420" w:firstLineChars="200"/>
              <w:jc w:val="left"/>
              <w:rPr>
                <w:rFonts w:hint="eastAsia"/>
                <w:lang w:val="en-US" w:eastAsia="zh-CN"/>
              </w:rPr>
            </w:pPr>
            <w:r>
              <w:rPr>
                <w:rFonts w:hint="eastAsia"/>
                <w:lang w:val="en-US" w:eastAsia="zh-CN"/>
              </w:rPr>
              <w:t>其它环境和职业健康安全策划和管控记录见各部门EO8.1。</w:t>
            </w:r>
          </w:p>
          <w:p>
            <w:pPr>
              <w:spacing w:line="360" w:lineRule="auto"/>
              <w:ind w:firstLine="420" w:firstLineChars="200"/>
              <w:jc w:val="left"/>
              <w:rPr>
                <w:rFonts w:hint="eastAsia"/>
                <w:lang w:val="en-US" w:eastAsia="zh-CN"/>
              </w:rPr>
            </w:pPr>
            <w:r>
              <w:rPr>
                <w:rFonts w:hint="eastAsia" w:ascii="宋体" w:hAnsi="宋体" w:eastAsia="宋体" w:cs="宋体"/>
                <w:sz w:val="21"/>
                <w:szCs w:val="21"/>
                <w:lang w:val="en-US" w:eastAsia="zh-CN"/>
              </w:rPr>
              <w:t>运行策划和控制符合要求</w:t>
            </w:r>
            <w:r>
              <w:rPr>
                <w:rFonts w:hint="eastAsia" w:ascii="宋体" w:hAnsi="宋体" w:cs="宋体"/>
                <w:sz w:val="21"/>
                <w:szCs w:val="21"/>
                <w:lang w:val="en-US" w:eastAsia="zh-CN"/>
              </w:rPr>
              <w:t>。</w:t>
            </w:r>
          </w:p>
        </w:tc>
        <w:tc>
          <w:tcPr>
            <w:tcW w:w="1134" w:type="dxa"/>
            <w:vAlign w:val="top"/>
          </w:tcPr>
          <w:p>
            <w:pPr>
              <w:spacing w:line="360" w:lineRule="auto"/>
              <w:jc w:val="both"/>
              <w:rPr>
                <w:rFonts w:hint="eastAsia" w:ascii="宋体" w:hAnsi="宋体" w:eastAsia="宋体" w:cs="宋体"/>
                <w:color w:val="FF0000"/>
                <w:sz w:val="21"/>
                <w:szCs w:val="21"/>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48" w:type="dxa"/>
            <w:vAlign w:val="top"/>
          </w:tcPr>
          <w:p>
            <w:pPr>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应急准备和响应</w:t>
            </w:r>
          </w:p>
        </w:tc>
        <w:tc>
          <w:tcPr>
            <w:tcW w:w="1272" w:type="dxa"/>
            <w:vAlign w:val="top"/>
          </w:tcPr>
          <w:p>
            <w:pPr>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EO8.2</w:t>
            </w:r>
          </w:p>
        </w:tc>
        <w:tc>
          <w:tcPr>
            <w:tcW w:w="10455" w:type="dxa"/>
            <w:vAlign w:val="center"/>
          </w:tcPr>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组织制定了《应急准备和响应控制程序》，识别紧急情况如下：火灾</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触电</w:t>
            </w:r>
            <w:r>
              <w:rPr>
                <w:rFonts w:hint="eastAsia" w:ascii="宋体" w:hAnsi="宋体" w:cs="宋体"/>
                <w:sz w:val="21"/>
                <w:szCs w:val="21"/>
                <w:lang w:val="en-US" w:eastAsia="zh-CN"/>
              </w:rPr>
              <w:t>等</w:t>
            </w:r>
            <w:r>
              <w:rPr>
                <w:rFonts w:hint="eastAsia" w:ascii="宋体" w:hAnsi="宋体" w:eastAsia="宋体" w:cs="宋体"/>
                <w:sz w:val="21"/>
                <w:szCs w:val="21"/>
                <w:lang w:val="en-US" w:eastAsia="zh-CN"/>
              </w:rPr>
              <w:t>，均规定了相应的应急响应措施，基本覆盖了重要环境因素和重要危险源的内容，符合控制要求，无修订记录。</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提供《202</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年应急救援预案演练计划》，有组织人员结构、人员组成、通讯联络、应急物资准备、应急处置程序、注意事项等。</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编制：综合部    审批：邢英杰      时间：时间：2022年11月9日</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提供《火灾应急演练记录》，有演习项目：灭火、逃生自救，</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地点：综合部，时间：2022年11月9日。</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有演练过程记录，演练存在的问题及整改措施等。</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有火灾应急响应演练评审，对演练中发现的问题要求整改。</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基本满足应急准备要求。</w:t>
            </w:r>
          </w:p>
        </w:tc>
        <w:tc>
          <w:tcPr>
            <w:tcW w:w="1134" w:type="dxa"/>
          </w:tcPr>
          <w:p>
            <w:pPr>
              <w:spacing w:line="360" w:lineRule="auto"/>
              <w:rPr>
                <w:rFonts w:hint="eastAsia" w:ascii="宋体" w:hAnsi="宋体" w:eastAsia="宋体" w:cs="宋体"/>
                <w:color w:val="FF0000"/>
                <w:sz w:val="21"/>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848" w:type="dxa"/>
            <w:vAlign w:val="top"/>
          </w:tcPr>
          <w:p>
            <w:pPr>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绩效总则</w:t>
            </w:r>
          </w:p>
          <w:p>
            <w:pPr>
              <w:spacing w:line="360" w:lineRule="auto"/>
              <w:ind w:firstLine="420" w:firstLineChars="200"/>
              <w:jc w:val="left"/>
              <w:rPr>
                <w:rFonts w:hint="eastAsia" w:ascii="宋体" w:hAnsi="宋体" w:eastAsia="宋体" w:cs="宋体"/>
                <w:sz w:val="21"/>
                <w:szCs w:val="21"/>
                <w:lang w:val="en-US" w:eastAsia="zh-CN"/>
              </w:rPr>
            </w:pPr>
          </w:p>
        </w:tc>
        <w:tc>
          <w:tcPr>
            <w:tcW w:w="1272" w:type="dxa"/>
            <w:vAlign w:val="top"/>
          </w:tcPr>
          <w:p>
            <w:pPr>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QEO9.1.1</w:t>
            </w:r>
          </w:p>
          <w:p>
            <w:pPr>
              <w:spacing w:line="360" w:lineRule="auto"/>
              <w:ind w:firstLine="420" w:firstLineChars="200"/>
              <w:jc w:val="left"/>
              <w:rPr>
                <w:rFonts w:hint="eastAsia" w:ascii="宋体" w:hAnsi="宋体" w:eastAsia="宋体" w:cs="宋体"/>
                <w:sz w:val="21"/>
                <w:szCs w:val="21"/>
                <w:lang w:val="en-US" w:eastAsia="zh-CN"/>
              </w:rPr>
            </w:pPr>
          </w:p>
        </w:tc>
        <w:tc>
          <w:tcPr>
            <w:tcW w:w="10455" w:type="dxa"/>
            <w:vAlign w:val="center"/>
          </w:tcPr>
          <w:p>
            <w:pPr>
              <w:spacing w:line="360" w:lineRule="auto"/>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编制有《管理体系业绩监测和测量控制程序》</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综合部</w:t>
            </w:r>
            <w:r>
              <w:rPr>
                <w:rFonts w:hint="eastAsia" w:ascii="宋体" w:hAnsi="宋体" w:eastAsia="宋体" w:cs="宋体"/>
                <w:sz w:val="21"/>
                <w:szCs w:val="21"/>
                <w:lang w:val="en-US" w:eastAsia="zh-CN"/>
              </w:rPr>
              <w:t>对管理体系的过程能力进行监视和测量，主要通过内审对管理体系运行的符合性和有效性进行监测，内审详见</w:t>
            </w:r>
            <w:r>
              <w:rPr>
                <w:rFonts w:hint="eastAsia" w:ascii="宋体" w:hAnsi="宋体" w:cs="宋体"/>
                <w:sz w:val="21"/>
                <w:szCs w:val="21"/>
                <w:lang w:val="en-US" w:eastAsia="zh-CN"/>
              </w:rPr>
              <w:t>综合部</w:t>
            </w:r>
            <w:r>
              <w:rPr>
                <w:rFonts w:hint="eastAsia" w:ascii="宋体" w:hAnsi="宋体" w:eastAsia="宋体" w:cs="宋体"/>
                <w:sz w:val="21"/>
                <w:szCs w:val="21"/>
                <w:lang w:val="en-US" w:eastAsia="zh-CN"/>
              </w:rPr>
              <w:t>审核9.2条款；再通过管理评审对管理体系的充分性、有效性和适宜性作了肯定的评价，详见管理层9.2条款记录；通过目标考评，监测管理体系运行的有效性，详见</w:t>
            </w:r>
            <w:r>
              <w:rPr>
                <w:rFonts w:hint="eastAsia" w:ascii="宋体" w:hAnsi="宋体" w:cs="宋体"/>
                <w:sz w:val="21"/>
                <w:szCs w:val="21"/>
                <w:lang w:val="en-US" w:eastAsia="zh-CN"/>
              </w:rPr>
              <w:t>综合部</w:t>
            </w:r>
            <w:r>
              <w:rPr>
                <w:rFonts w:hint="eastAsia" w:ascii="宋体" w:hAnsi="宋体" w:eastAsia="宋体" w:cs="宋体"/>
                <w:sz w:val="21"/>
                <w:szCs w:val="21"/>
                <w:lang w:val="en-US" w:eastAsia="zh-CN"/>
              </w:rPr>
              <w:t>审核6.2条款。另</w:t>
            </w:r>
            <w:r>
              <w:rPr>
                <w:rFonts w:hint="eastAsia" w:ascii="宋体" w:hAnsi="宋体" w:cs="宋体"/>
                <w:sz w:val="21"/>
                <w:szCs w:val="21"/>
                <w:lang w:val="en-US" w:eastAsia="zh-CN"/>
              </w:rPr>
              <w:t>综合部</w:t>
            </w:r>
            <w:r>
              <w:rPr>
                <w:rFonts w:hint="eastAsia" w:ascii="宋体" w:hAnsi="宋体" w:eastAsia="宋体" w:cs="宋体"/>
                <w:sz w:val="21"/>
                <w:szCs w:val="21"/>
                <w:lang w:val="en-US" w:eastAsia="zh-CN"/>
              </w:rPr>
              <w:t>提供的监视测量记录，抽查内容如下：</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提供员工职业健康检查报告，抽查3名员工，均正常：</w:t>
            </w:r>
          </w:p>
          <w:p>
            <w:pPr>
              <w:pStyle w:val="11"/>
              <w:rPr>
                <w:rFonts w:hint="eastAsia" w:ascii="宋体" w:hAnsi="宋体" w:eastAsia="宋体" w:cs="宋体"/>
                <w:sz w:val="21"/>
                <w:szCs w:val="21"/>
                <w:lang w:val="en-US" w:eastAsia="zh-CN"/>
              </w:rPr>
            </w:pPr>
          </w:p>
          <w:p>
            <w:pPr>
              <w:pStyle w:val="11"/>
              <w:rPr>
                <w:rFonts w:hint="eastAsia" w:ascii="宋体" w:hAnsi="宋体" w:eastAsia="宋体" w:cs="宋体"/>
                <w:sz w:val="21"/>
                <w:szCs w:val="21"/>
                <w:lang w:val="en-US" w:eastAsia="zh-CN"/>
              </w:rPr>
            </w:pPr>
            <w:r>
              <w:rPr>
                <w:rFonts w:hint="eastAsia"/>
                <w:lang w:val="en-US" w:eastAsia="zh-CN"/>
              </w:rPr>
              <w:drawing>
                <wp:anchor distT="0" distB="0" distL="114300" distR="114300" simplePos="0" relativeHeight="251671552" behindDoc="0" locked="0" layoutInCell="1" allowOverlap="1">
                  <wp:simplePos x="0" y="0"/>
                  <wp:positionH relativeFrom="column">
                    <wp:posOffset>3377565</wp:posOffset>
                  </wp:positionH>
                  <wp:positionV relativeFrom="paragraph">
                    <wp:posOffset>130175</wp:posOffset>
                  </wp:positionV>
                  <wp:extent cx="1482725" cy="2637155"/>
                  <wp:effectExtent l="0" t="0" r="3175" b="4445"/>
                  <wp:wrapNone/>
                  <wp:docPr id="27" name="图片 27" descr="邢英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邢英杰"/>
                          <pic:cNvPicPr>
                            <a:picLocks noChangeAspect="1"/>
                          </pic:cNvPicPr>
                        </pic:nvPicPr>
                        <pic:blipFill>
                          <a:blip r:embed="rId26"/>
                          <a:stretch>
                            <a:fillRect/>
                          </a:stretch>
                        </pic:blipFill>
                        <pic:spPr>
                          <a:xfrm>
                            <a:off x="0" y="0"/>
                            <a:ext cx="1482725" cy="2637155"/>
                          </a:xfrm>
                          <a:prstGeom prst="rect">
                            <a:avLst/>
                          </a:prstGeom>
                        </pic:spPr>
                      </pic:pic>
                    </a:graphicData>
                  </a:graphic>
                </wp:anchor>
              </w:drawing>
            </w:r>
            <w:r>
              <w:rPr>
                <w:rFonts w:hint="eastAsia"/>
                <w:lang w:val="en-US" w:eastAsia="zh-CN"/>
              </w:rPr>
              <w:drawing>
                <wp:anchor distT="0" distB="0" distL="114300" distR="114300" simplePos="0" relativeHeight="251670528" behindDoc="0" locked="0" layoutInCell="1" allowOverlap="1">
                  <wp:simplePos x="0" y="0"/>
                  <wp:positionH relativeFrom="column">
                    <wp:posOffset>152400</wp:posOffset>
                  </wp:positionH>
                  <wp:positionV relativeFrom="paragraph">
                    <wp:posOffset>123190</wp:posOffset>
                  </wp:positionV>
                  <wp:extent cx="1504950" cy="2685415"/>
                  <wp:effectExtent l="0" t="0" r="6350" b="6985"/>
                  <wp:wrapNone/>
                  <wp:docPr id="28" name="图片 28" descr="李慧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李慧兰"/>
                          <pic:cNvPicPr>
                            <a:picLocks noChangeAspect="1"/>
                          </pic:cNvPicPr>
                        </pic:nvPicPr>
                        <pic:blipFill>
                          <a:blip r:embed="rId27"/>
                          <a:stretch>
                            <a:fillRect/>
                          </a:stretch>
                        </pic:blipFill>
                        <pic:spPr>
                          <a:xfrm>
                            <a:off x="0" y="0"/>
                            <a:ext cx="1504950" cy="2685415"/>
                          </a:xfrm>
                          <a:prstGeom prst="rect">
                            <a:avLst/>
                          </a:prstGeom>
                        </pic:spPr>
                      </pic:pic>
                    </a:graphicData>
                  </a:graphic>
                </wp:anchor>
              </w:drawing>
            </w:r>
            <w:r>
              <w:rPr>
                <w:rFonts w:hint="eastAsia"/>
                <w:lang w:val="en-US" w:eastAsia="zh-CN"/>
              </w:rPr>
              <w:drawing>
                <wp:anchor distT="0" distB="0" distL="114300" distR="114300" simplePos="0" relativeHeight="251672576" behindDoc="0" locked="0" layoutInCell="1" allowOverlap="1">
                  <wp:simplePos x="0" y="0"/>
                  <wp:positionH relativeFrom="column">
                    <wp:posOffset>1774190</wp:posOffset>
                  </wp:positionH>
                  <wp:positionV relativeFrom="paragraph">
                    <wp:posOffset>168910</wp:posOffset>
                  </wp:positionV>
                  <wp:extent cx="1470660" cy="2637790"/>
                  <wp:effectExtent l="0" t="0" r="2540" b="3810"/>
                  <wp:wrapNone/>
                  <wp:docPr id="29" name="图片 29" descr="黄蓉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黄蓉玉"/>
                          <pic:cNvPicPr>
                            <a:picLocks noChangeAspect="1"/>
                          </pic:cNvPicPr>
                        </pic:nvPicPr>
                        <pic:blipFill>
                          <a:blip r:embed="rId28"/>
                          <a:stretch>
                            <a:fillRect/>
                          </a:stretch>
                        </pic:blipFill>
                        <pic:spPr>
                          <a:xfrm>
                            <a:off x="0" y="0"/>
                            <a:ext cx="1470660" cy="2637790"/>
                          </a:xfrm>
                          <a:prstGeom prst="rect">
                            <a:avLst/>
                          </a:prstGeom>
                        </pic:spPr>
                      </pic:pic>
                    </a:graphicData>
                  </a:graphic>
                </wp:anchor>
              </w:drawing>
            </w:r>
          </w:p>
          <w:p>
            <w:pPr>
              <w:pStyle w:val="11"/>
              <w:rPr>
                <w:rFonts w:hint="eastAsia" w:ascii="宋体" w:hAnsi="宋体" w:eastAsia="宋体" w:cs="宋体"/>
                <w:sz w:val="21"/>
                <w:szCs w:val="21"/>
                <w:lang w:val="en-US" w:eastAsia="zh-CN"/>
              </w:rPr>
            </w:pPr>
          </w:p>
          <w:p>
            <w:pPr>
              <w:pStyle w:val="11"/>
              <w:rPr>
                <w:rFonts w:hint="eastAsia" w:ascii="宋体" w:hAnsi="宋体" w:eastAsia="宋体" w:cs="宋体"/>
                <w:sz w:val="21"/>
                <w:szCs w:val="21"/>
                <w:lang w:val="en-US" w:eastAsia="zh-CN"/>
              </w:rPr>
            </w:pPr>
          </w:p>
          <w:p>
            <w:pPr>
              <w:pStyle w:val="11"/>
              <w:rPr>
                <w:rFonts w:hint="eastAsia" w:ascii="宋体" w:hAnsi="宋体" w:eastAsia="宋体" w:cs="宋体"/>
                <w:sz w:val="21"/>
                <w:szCs w:val="21"/>
                <w:lang w:val="en-US" w:eastAsia="zh-CN"/>
              </w:rPr>
            </w:pPr>
          </w:p>
          <w:p>
            <w:pPr>
              <w:pStyle w:val="11"/>
              <w:rPr>
                <w:rFonts w:hint="eastAsia" w:ascii="宋体" w:hAnsi="宋体" w:eastAsia="宋体" w:cs="宋体"/>
                <w:sz w:val="21"/>
                <w:szCs w:val="21"/>
                <w:lang w:val="en-US" w:eastAsia="zh-CN"/>
              </w:rPr>
            </w:pPr>
          </w:p>
          <w:p>
            <w:pPr>
              <w:pStyle w:val="11"/>
              <w:rPr>
                <w:rFonts w:hint="eastAsia" w:ascii="宋体" w:hAnsi="宋体" w:eastAsia="宋体" w:cs="宋体"/>
                <w:sz w:val="21"/>
                <w:szCs w:val="21"/>
                <w:lang w:val="en-US" w:eastAsia="zh-CN"/>
              </w:rPr>
            </w:pPr>
          </w:p>
          <w:p>
            <w:pPr>
              <w:pStyle w:val="11"/>
              <w:rPr>
                <w:rFonts w:hint="eastAsia" w:ascii="宋体" w:hAnsi="宋体" w:eastAsia="宋体" w:cs="宋体"/>
                <w:sz w:val="21"/>
                <w:szCs w:val="21"/>
                <w:lang w:val="en-US" w:eastAsia="zh-CN"/>
              </w:rPr>
            </w:pPr>
          </w:p>
          <w:p>
            <w:pPr>
              <w:pStyle w:val="11"/>
              <w:rPr>
                <w:rFonts w:hint="eastAsia" w:ascii="宋体" w:hAnsi="宋体" w:eastAsia="宋体" w:cs="宋体"/>
                <w:sz w:val="21"/>
                <w:szCs w:val="21"/>
                <w:lang w:val="en-US" w:eastAsia="zh-CN"/>
              </w:rPr>
            </w:pPr>
          </w:p>
          <w:p>
            <w:pPr>
              <w:pStyle w:val="11"/>
              <w:rPr>
                <w:rFonts w:hint="eastAsia" w:ascii="宋体" w:hAnsi="宋体" w:eastAsia="宋体" w:cs="宋体"/>
                <w:sz w:val="21"/>
                <w:szCs w:val="21"/>
                <w:lang w:val="en-US" w:eastAsia="zh-CN"/>
              </w:rPr>
            </w:pPr>
          </w:p>
          <w:p>
            <w:pPr>
              <w:pStyle w:val="11"/>
              <w:rPr>
                <w:rFonts w:hint="eastAsia" w:ascii="宋体" w:hAnsi="宋体" w:eastAsia="宋体" w:cs="宋体"/>
                <w:sz w:val="21"/>
                <w:szCs w:val="21"/>
                <w:lang w:val="en-US" w:eastAsia="zh-CN"/>
              </w:rPr>
            </w:pPr>
          </w:p>
          <w:p>
            <w:pPr>
              <w:pStyle w:val="11"/>
              <w:rPr>
                <w:rFonts w:hint="eastAsia" w:ascii="宋体" w:hAnsi="宋体" w:eastAsia="宋体" w:cs="宋体"/>
                <w:sz w:val="21"/>
                <w:szCs w:val="21"/>
                <w:lang w:val="en-US" w:eastAsia="zh-CN"/>
              </w:rPr>
            </w:pP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远程</w:t>
            </w:r>
            <w:r>
              <w:rPr>
                <w:rFonts w:hint="eastAsia" w:ascii="宋体" w:hAnsi="宋体" w:eastAsia="宋体" w:cs="宋体"/>
                <w:sz w:val="21"/>
                <w:szCs w:val="21"/>
                <w:lang w:val="en-US" w:eastAsia="zh-CN"/>
              </w:rPr>
              <w:t>巡视组织办公、车间、仓库等：抽查组织灭火器检查记录和有效状态，全部处于有效状态，2022年度检查记录完整、合规，符合要求；抽查组织厂区车间消防设施，均处于有效状态，202</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年度检查记录完整；</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其它监视测量记录见各部门控制记录。</w:t>
            </w:r>
          </w:p>
        </w:tc>
        <w:tc>
          <w:tcPr>
            <w:tcW w:w="1134" w:type="dxa"/>
          </w:tcPr>
          <w:p>
            <w:pPr>
              <w:spacing w:line="360" w:lineRule="auto"/>
              <w:rPr>
                <w:rFonts w:hint="eastAsia" w:ascii="宋体" w:hAnsi="宋体" w:eastAsia="宋体" w:cs="宋体"/>
                <w:color w:val="FF0000"/>
                <w:sz w:val="21"/>
                <w:szCs w:val="21"/>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848" w:type="dxa"/>
            <w:vAlign w:val="top"/>
          </w:tcPr>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法律法规</w:t>
            </w:r>
            <w:r>
              <w:rPr>
                <w:rFonts w:hint="eastAsia" w:ascii="Times New Roman" w:hAnsi="Times New Roman" w:eastAsia="宋体" w:cs="Times New Roman"/>
                <w:color w:val="auto"/>
                <w:lang w:val="en-US" w:eastAsia="zh-CN"/>
              </w:rPr>
              <w:t>要求和其他要求的确定</w:t>
            </w:r>
          </w:p>
          <w:p>
            <w:pPr>
              <w:rPr>
                <w:rFonts w:hint="eastAsia" w:ascii="Times New Roman" w:hAnsi="Times New Roman" w:eastAsia="宋体" w:cs="Times New Roman"/>
                <w:color w:val="auto"/>
              </w:rPr>
            </w:pPr>
            <w:r>
              <w:rPr>
                <w:rFonts w:hint="eastAsia" w:ascii="Times New Roman" w:hAnsi="Times New Roman" w:eastAsia="宋体" w:cs="Times New Roman"/>
                <w:color w:val="auto"/>
              </w:rPr>
              <w:t>合规义务</w:t>
            </w:r>
          </w:p>
          <w:p>
            <w:pPr>
              <w:rPr>
                <w:rFonts w:hint="eastAsia"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lang w:val="en-US" w:eastAsia="zh-CN"/>
              </w:rPr>
              <w:t>合规性评价</w:t>
            </w:r>
          </w:p>
        </w:tc>
        <w:tc>
          <w:tcPr>
            <w:tcW w:w="1272" w:type="dxa"/>
            <w:vAlign w:val="top"/>
          </w:tcPr>
          <w:p>
            <w:pPr>
              <w:rPr>
                <w:rFonts w:hint="eastAsia" w:ascii="Times New Roman" w:hAnsi="Times New Roman" w:eastAsia="宋体" w:cs="Times New Roman"/>
                <w:color w:val="auto"/>
              </w:rPr>
            </w:pPr>
            <w:r>
              <w:rPr>
                <w:rFonts w:hint="eastAsia" w:ascii="Times New Roman" w:hAnsi="Times New Roman" w:eastAsia="宋体" w:cs="Times New Roman"/>
                <w:color w:val="auto"/>
              </w:rPr>
              <w:t>EO6.1.3</w:t>
            </w:r>
          </w:p>
          <w:p>
            <w:pPr>
              <w:rPr>
                <w:rFonts w:hint="eastAsia"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lang w:val="en-US" w:eastAsia="zh-CN"/>
              </w:rPr>
              <w:t>EO9.1.2</w:t>
            </w:r>
          </w:p>
        </w:tc>
        <w:tc>
          <w:tcPr>
            <w:tcW w:w="10455" w:type="dxa"/>
            <w:vAlign w:val="center"/>
          </w:tcPr>
          <w:p>
            <w:pPr>
              <w:spacing w:line="360" w:lineRule="auto"/>
              <w:ind w:firstLine="420" w:firstLineChars="200"/>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建立实施了《法律、法规及其他要求控制程序》、《合规性评价控制程序》。</w:t>
            </w:r>
          </w:p>
          <w:p>
            <w:pPr>
              <w:spacing w:line="360" w:lineRule="auto"/>
              <w:ind w:firstLine="420" w:firstLineChars="200"/>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提供有《环境、职业健康安全法规法律法规清单》，识别了相关环境、职业健康安全合规义务，其中包括：《中华人民共和国环境保护法》、《中华人民共和国固体废物污染环境防治法》、《中华人民共和国水污染防治法》、《中华人民共和国传染病防治法》、《环境行政处罚办法》、《中华人民共和国安全生产法》、《中华人民共和国职业病防治法》、《公共卫生事件应急条例》等。已识别法律法规及其它要求的适用条款，能与环境因素、危险源相对应。</w:t>
            </w:r>
          </w:p>
          <w:p>
            <w:pPr>
              <w:spacing w:line="360" w:lineRule="auto"/>
              <w:ind w:firstLine="420" w:firstLineChars="200"/>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综合部根据需要随时网上获取、识别更新，并通过培训、宣传、会议等形式传达给员工和相关方，各部门如有需要随时到安健环部查阅。</w:t>
            </w:r>
          </w:p>
          <w:p>
            <w:pPr>
              <w:spacing w:line="360" w:lineRule="auto"/>
              <w:ind w:firstLine="420" w:firstLineChars="200"/>
              <w:rPr>
                <w:rFonts w:hint="eastAsia"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lang w:val="en-US" w:eastAsia="zh-CN"/>
              </w:rPr>
              <w:t>查提供有《合规性评价表》、《合规性评价报告》日期：2022年6月12日，对公司适用环境、职业健康安全的法律法规和其他要求进行了评价，评价结果：全部符合要求。</w:t>
            </w:r>
          </w:p>
        </w:tc>
        <w:tc>
          <w:tcPr>
            <w:tcW w:w="1134" w:type="dxa"/>
          </w:tcPr>
          <w:p>
            <w:pPr>
              <w:spacing w:line="360" w:lineRule="auto"/>
              <w:rPr>
                <w:rFonts w:hint="eastAsia"/>
                <w:highlight w:val="yellow"/>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8" w:type="dxa"/>
          </w:tcPr>
          <w:p>
            <w:pPr>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分析与评价</w:t>
            </w:r>
          </w:p>
          <w:p>
            <w:pPr>
              <w:spacing w:line="360" w:lineRule="auto"/>
              <w:ind w:firstLine="420" w:firstLineChars="200"/>
              <w:jc w:val="left"/>
              <w:rPr>
                <w:rFonts w:hint="eastAsia" w:ascii="宋体" w:hAnsi="宋体" w:eastAsia="宋体" w:cs="宋体"/>
                <w:sz w:val="21"/>
                <w:szCs w:val="21"/>
                <w:lang w:val="en-US" w:eastAsia="zh-CN"/>
              </w:rPr>
            </w:pPr>
          </w:p>
        </w:tc>
        <w:tc>
          <w:tcPr>
            <w:tcW w:w="1272" w:type="dxa"/>
          </w:tcPr>
          <w:p>
            <w:pPr>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Q9.1.3</w:t>
            </w:r>
          </w:p>
          <w:p>
            <w:pPr>
              <w:spacing w:line="360" w:lineRule="auto"/>
              <w:ind w:firstLine="420" w:firstLineChars="200"/>
              <w:jc w:val="left"/>
              <w:rPr>
                <w:rFonts w:hint="eastAsia" w:ascii="宋体" w:hAnsi="宋体" w:eastAsia="宋体" w:cs="宋体"/>
                <w:sz w:val="21"/>
                <w:szCs w:val="21"/>
                <w:lang w:val="en-US" w:eastAsia="zh-CN"/>
              </w:rPr>
            </w:pPr>
          </w:p>
        </w:tc>
        <w:tc>
          <w:tcPr>
            <w:tcW w:w="10455" w:type="dxa"/>
            <w:vAlign w:val="center"/>
          </w:tcPr>
          <w:p>
            <w:pPr>
              <w:spacing w:line="360" w:lineRule="auto"/>
              <w:ind w:firstLine="420" w:firstLineChars="200"/>
              <w:jc w:val="left"/>
              <w:rPr>
                <w:rFonts w:hint="eastAsia"/>
                <w:lang w:val="en-US" w:eastAsia="zh-CN"/>
              </w:rPr>
            </w:pPr>
            <w:r>
              <w:rPr>
                <w:rFonts w:hint="eastAsia"/>
                <w:lang w:val="en-US" w:eastAsia="zh-CN"/>
              </w:rPr>
              <w:t>组织数据包括：产品生产和销售状况、管理体系运行状况、顾客满意管理、供方管理等过程的数据分析。查自组织管理体系运行以来，已经进行搜集信息和数据的活动：管理目标考核、顾客满意度调查、供方的交付和质量、环境、职业健康安全运行情况等的简单分析。组织通过对管理目标的状态评价产品和服务的符合性良好；对顾客满意度的评价为达到目标要求；外部供方按时交付和质量经分析均满足要求，绩效良好。通过内审评审组织管理体系的策划已有效实施；通过管理评审评价组织应对风险和机遇所采取措施有效，管理体系有效、绩效良好，评价出管理体系改进的需求有进一步提高顾客满意度。分析与评价管理基本符合要求。</w:t>
            </w:r>
          </w:p>
        </w:tc>
        <w:tc>
          <w:tcPr>
            <w:tcW w:w="1134" w:type="dxa"/>
          </w:tcPr>
          <w:p>
            <w:pPr>
              <w:spacing w:line="360" w:lineRule="auto"/>
              <w:rPr>
                <w:rFonts w:hint="eastAsia" w:ascii="宋体" w:hAnsi="宋体" w:eastAsia="宋体" w:cs="宋体"/>
                <w:color w:val="FF0000"/>
                <w:sz w:val="21"/>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848" w:type="dxa"/>
          </w:tcPr>
          <w:p>
            <w:pPr>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内部审核</w:t>
            </w:r>
          </w:p>
          <w:p>
            <w:pPr>
              <w:spacing w:line="360" w:lineRule="auto"/>
              <w:ind w:firstLine="420" w:firstLineChars="200"/>
              <w:jc w:val="left"/>
              <w:rPr>
                <w:rFonts w:hint="eastAsia" w:ascii="宋体" w:hAnsi="宋体" w:eastAsia="宋体" w:cs="宋体"/>
                <w:sz w:val="21"/>
                <w:szCs w:val="21"/>
                <w:lang w:val="en-US" w:eastAsia="zh-CN"/>
              </w:rPr>
            </w:pPr>
          </w:p>
          <w:p>
            <w:pPr>
              <w:spacing w:line="360" w:lineRule="auto"/>
              <w:ind w:firstLine="420" w:firstLineChars="200"/>
              <w:jc w:val="left"/>
              <w:rPr>
                <w:rFonts w:hint="eastAsia" w:ascii="宋体" w:hAnsi="宋体" w:eastAsia="宋体" w:cs="宋体"/>
                <w:sz w:val="21"/>
                <w:szCs w:val="21"/>
                <w:lang w:val="en-US" w:eastAsia="zh-CN"/>
              </w:rPr>
            </w:pPr>
          </w:p>
        </w:tc>
        <w:tc>
          <w:tcPr>
            <w:tcW w:w="1272" w:type="dxa"/>
          </w:tcPr>
          <w:p>
            <w:pPr>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QEO9.2</w:t>
            </w:r>
          </w:p>
        </w:tc>
        <w:tc>
          <w:tcPr>
            <w:tcW w:w="10455" w:type="dxa"/>
            <w:vAlign w:val="center"/>
          </w:tcPr>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组织根据制定的《内部审核控制程序》进行内部审核过程控制。提供内审记录，抽查内容如下：</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w:t>
            </w:r>
            <w:r>
              <w:rPr>
                <w:rFonts w:hint="eastAsia" w:ascii="宋体" w:hAnsi="宋体" w:cs="宋体"/>
                <w:sz w:val="21"/>
                <w:szCs w:val="21"/>
                <w:lang w:val="en-US" w:eastAsia="zh-CN"/>
              </w:rPr>
              <w:t>提供有</w:t>
            </w:r>
            <w:r>
              <w:rPr>
                <w:rFonts w:hint="eastAsia" w:ascii="宋体" w:hAnsi="宋体" w:eastAsia="宋体" w:cs="宋体"/>
                <w:sz w:val="21"/>
                <w:szCs w:val="21"/>
                <w:lang w:val="en-US" w:eastAsia="zh-CN"/>
              </w:rPr>
              <w:t>内部审核计划，内容包括审核目的、审核范围、审核准则、审核具体日程安排、编制批准等，内容完整，能够满足策划要求。</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审核日期：2022年10月25日</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审核组：邢英杰</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杨唯、黄蓉玉、任跃飞</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查提供有首末次会议</w:t>
            </w:r>
            <w:r>
              <w:rPr>
                <w:rFonts w:hint="eastAsia" w:ascii="宋体" w:hAnsi="宋体" w:eastAsia="宋体" w:cs="宋体"/>
                <w:sz w:val="21"/>
                <w:szCs w:val="21"/>
                <w:lang w:val="en-US" w:eastAsia="zh-CN"/>
              </w:rPr>
              <w:t>签到表，总经理、管理者代表、</w:t>
            </w:r>
            <w:r>
              <w:rPr>
                <w:rFonts w:hint="eastAsia" w:ascii="宋体" w:hAnsi="宋体" w:cs="宋体"/>
                <w:sz w:val="21"/>
                <w:szCs w:val="21"/>
                <w:lang w:val="en-US" w:eastAsia="zh-CN"/>
              </w:rPr>
              <w:t>综合部</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技术质量部、检测部</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收发室、</w:t>
            </w:r>
            <w:r>
              <w:rPr>
                <w:rFonts w:hint="eastAsia" w:ascii="宋体" w:hAnsi="宋体" w:eastAsia="宋体" w:cs="宋体"/>
                <w:sz w:val="21"/>
                <w:szCs w:val="21"/>
                <w:lang w:val="en-US" w:eastAsia="zh-CN"/>
              </w:rPr>
              <w:t>财务部各部门参与了内部审核的首末次会议；</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74624" behindDoc="0" locked="0" layoutInCell="1" allowOverlap="1">
                  <wp:simplePos x="0" y="0"/>
                  <wp:positionH relativeFrom="column">
                    <wp:posOffset>1699895</wp:posOffset>
                  </wp:positionH>
                  <wp:positionV relativeFrom="paragraph">
                    <wp:posOffset>47625</wp:posOffset>
                  </wp:positionV>
                  <wp:extent cx="1416050" cy="1770380"/>
                  <wp:effectExtent l="0" t="0" r="6350" b="7620"/>
                  <wp:wrapNone/>
                  <wp:docPr id="31" name="图片 31" descr="167397921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3979219359"/>
                          <pic:cNvPicPr>
                            <a:picLocks noChangeAspect="1"/>
                          </pic:cNvPicPr>
                        </pic:nvPicPr>
                        <pic:blipFill>
                          <a:blip r:embed="rId29"/>
                          <a:stretch>
                            <a:fillRect/>
                          </a:stretch>
                        </pic:blipFill>
                        <pic:spPr>
                          <a:xfrm>
                            <a:off x="0" y="0"/>
                            <a:ext cx="1416050" cy="1770380"/>
                          </a:xfrm>
                          <a:prstGeom prst="rect">
                            <a:avLst/>
                          </a:prstGeom>
                        </pic:spPr>
                      </pic:pic>
                    </a:graphicData>
                  </a:graphic>
                </wp:anchor>
              </w:drawing>
            </w:r>
            <w:r>
              <w:rPr>
                <w:rFonts w:hint="eastAsia" w:ascii="宋体" w:hAnsi="宋体" w:eastAsia="宋体" w:cs="宋体"/>
                <w:sz w:val="21"/>
                <w:szCs w:val="21"/>
                <w:lang w:val="en-US" w:eastAsia="zh-CN"/>
              </w:rPr>
              <w:drawing>
                <wp:anchor distT="0" distB="0" distL="114300" distR="114300" simplePos="0" relativeHeight="251673600" behindDoc="0" locked="0" layoutInCell="1" allowOverlap="1">
                  <wp:simplePos x="0" y="0"/>
                  <wp:positionH relativeFrom="column">
                    <wp:posOffset>257810</wp:posOffset>
                  </wp:positionH>
                  <wp:positionV relativeFrom="paragraph">
                    <wp:posOffset>190500</wp:posOffset>
                  </wp:positionV>
                  <wp:extent cx="1361440" cy="1670050"/>
                  <wp:effectExtent l="0" t="0" r="10160" b="6350"/>
                  <wp:wrapNone/>
                  <wp:docPr id="30" name="图片 30" descr="167397918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73979184149"/>
                          <pic:cNvPicPr>
                            <a:picLocks noChangeAspect="1"/>
                          </pic:cNvPicPr>
                        </pic:nvPicPr>
                        <pic:blipFill>
                          <a:blip r:embed="rId30"/>
                          <a:stretch>
                            <a:fillRect/>
                          </a:stretch>
                        </pic:blipFill>
                        <pic:spPr>
                          <a:xfrm>
                            <a:off x="0" y="0"/>
                            <a:ext cx="1361440" cy="1670050"/>
                          </a:xfrm>
                          <a:prstGeom prst="rect">
                            <a:avLst/>
                          </a:prstGeom>
                        </pic:spPr>
                      </pic:pic>
                    </a:graphicData>
                  </a:graphic>
                </wp:anchor>
              </w:drawing>
            </w:r>
          </w:p>
          <w:p>
            <w:pPr>
              <w:spacing w:line="360" w:lineRule="auto"/>
              <w:ind w:firstLine="420" w:firstLineChars="200"/>
              <w:jc w:val="left"/>
              <w:rPr>
                <w:rFonts w:hint="eastAsia" w:ascii="宋体" w:hAnsi="宋体" w:eastAsia="宋体" w:cs="宋体"/>
                <w:sz w:val="21"/>
                <w:szCs w:val="21"/>
                <w:lang w:val="en-US" w:eastAsia="zh-CN"/>
              </w:rPr>
            </w:pPr>
          </w:p>
          <w:p>
            <w:pPr>
              <w:spacing w:line="360" w:lineRule="auto"/>
              <w:ind w:firstLine="420" w:firstLineChars="200"/>
              <w:jc w:val="left"/>
              <w:rPr>
                <w:rFonts w:hint="eastAsia" w:ascii="宋体" w:hAnsi="宋体" w:eastAsia="宋体" w:cs="宋体"/>
                <w:sz w:val="21"/>
                <w:szCs w:val="21"/>
                <w:lang w:val="en-US" w:eastAsia="zh-CN"/>
              </w:rPr>
            </w:pPr>
          </w:p>
          <w:p>
            <w:pPr>
              <w:spacing w:line="360" w:lineRule="auto"/>
              <w:ind w:firstLine="420" w:firstLineChars="200"/>
              <w:jc w:val="left"/>
              <w:rPr>
                <w:rFonts w:hint="eastAsia" w:ascii="宋体" w:hAnsi="宋体" w:eastAsia="宋体" w:cs="宋体"/>
                <w:sz w:val="21"/>
                <w:szCs w:val="21"/>
                <w:lang w:val="en-US" w:eastAsia="zh-CN"/>
              </w:rPr>
            </w:pPr>
          </w:p>
          <w:p>
            <w:pPr>
              <w:pStyle w:val="2"/>
              <w:rPr>
                <w:rFonts w:hint="eastAsia" w:ascii="宋体" w:hAnsi="宋体" w:eastAsia="宋体" w:cs="宋体"/>
                <w:sz w:val="21"/>
                <w:szCs w:val="21"/>
                <w:lang w:val="en-US" w:eastAsia="zh-CN"/>
              </w:rPr>
            </w:pPr>
          </w:p>
          <w:p>
            <w:pPr>
              <w:pStyle w:val="2"/>
              <w:rPr>
                <w:rFonts w:hint="eastAsia" w:ascii="宋体" w:hAnsi="宋体" w:eastAsia="宋体" w:cs="宋体"/>
                <w:sz w:val="21"/>
                <w:szCs w:val="21"/>
                <w:lang w:val="en-US" w:eastAsia="zh-CN"/>
              </w:rPr>
            </w:pPr>
          </w:p>
          <w:p>
            <w:pPr>
              <w:pStyle w:val="2"/>
              <w:rPr>
                <w:rFonts w:hint="eastAsia" w:ascii="宋体" w:hAnsi="宋体" w:eastAsia="宋体" w:cs="宋体"/>
                <w:sz w:val="21"/>
                <w:szCs w:val="21"/>
                <w:lang w:val="en-US" w:eastAsia="zh-CN"/>
              </w:rPr>
            </w:pP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提供《内部审核检查表》，内容包括条款号、检查内容、检查记录和结果判定等，记录显示，组织审核组有按照计划要求进行，满足执行要求。</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查《内审不符合报告》：包括1项不符合条款依据正确，且均已完成整改并验证有效。</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查《内审报告》中内部审核结论记录如下：本次内审发现1个一般不符合项，属一般不符合，总体结论：管理体系适宜、充分、有效。</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综上，组织的内部审核控制基本有效。</w:t>
            </w:r>
          </w:p>
        </w:tc>
        <w:tc>
          <w:tcPr>
            <w:tcW w:w="1134" w:type="dxa"/>
          </w:tcPr>
          <w:p>
            <w:pPr>
              <w:spacing w:line="360" w:lineRule="auto"/>
              <w:rPr>
                <w:rFonts w:hint="eastAsia" w:ascii="宋体" w:hAnsi="宋体" w:eastAsia="宋体" w:cs="宋体"/>
                <w:color w:val="FF0000"/>
                <w:sz w:val="21"/>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848" w:type="dxa"/>
          </w:tcPr>
          <w:p>
            <w:pPr>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不合格和纠正措施</w:t>
            </w:r>
          </w:p>
          <w:p>
            <w:pPr>
              <w:spacing w:line="360" w:lineRule="auto"/>
              <w:ind w:firstLine="420" w:firstLineChars="200"/>
              <w:jc w:val="left"/>
              <w:rPr>
                <w:rFonts w:hint="eastAsia" w:ascii="宋体" w:hAnsi="宋体" w:eastAsia="宋体" w:cs="宋体"/>
                <w:sz w:val="21"/>
                <w:szCs w:val="21"/>
                <w:lang w:val="en-US" w:eastAsia="zh-CN"/>
              </w:rPr>
            </w:pPr>
          </w:p>
        </w:tc>
        <w:tc>
          <w:tcPr>
            <w:tcW w:w="1272" w:type="dxa"/>
          </w:tcPr>
          <w:p>
            <w:pPr>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QEO10.2</w:t>
            </w:r>
          </w:p>
          <w:p>
            <w:pPr>
              <w:spacing w:line="360" w:lineRule="auto"/>
              <w:ind w:firstLine="420" w:firstLineChars="200"/>
              <w:jc w:val="left"/>
              <w:rPr>
                <w:rFonts w:hint="eastAsia" w:ascii="宋体" w:hAnsi="宋体" w:eastAsia="宋体" w:cs="宋体"/>
                <w:sz w:val="21"/>
                <w:szCs w:val="21"/>
                <w:lang w:val="en-US" w:eastAsia="zh-CN"/>
              </w:rPr>
            </w:pPr>
          </w:p>
          <w:p>
            <w:pPr>
              <w:spacing w:line="360" w:lineRule="auto"/>
              <w:ind w:firstLine="420" w:firstLineChars="200"/>
              <w:jc w:val="left"/>
              <w:rPr>
                <w:rFonts w:hint="eastAsia" w:ascii="宋体" w:hAnsi="宋体" w:eastAsia="宋体" w:cs="宋体"/>
                <w:sz w:val="21"/>
                <w:szCs w:val="21"/>
                <w:lang w:val="en-US" w:eastAsia="zh-CN"/>
              </w:rPr>
            </w:pPr>
          </w:p>
        </w:tc>
        <w:tc>
          <w:tcPr>
            <w:tcW w:w="10455" w:type="dxa"/>
            <w:vAlign w:val="center"/>
          </w:tcPr>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综合部</w:t>
            </w:r>
            <w:r>
              <w:rPr>
                <w:rFonts w:hint="eastAsia" w:ascii="宋体" w:hAnsi="宋体" w:eastAsia="宋体" w:cs="宋体"/>
                <w:sz w:val="21"/>
                <w:szCs w:val="21"/>
                <w:lang w:val="en-US" w:eastAsia="zh-CN"/>
              </w:rPr>
              <w:t>负责人</w:t>
            </w:r>
            <w:r>
              <w:rPr>
                <w:rFonts w:hint="eastAsia" w:ascii="宋体" w:hAnsi="宋体" w:cs="宋体"/>
                <w:sz w:val="21"/>
                <w:szCs w:val="21"/>
                <w:lang w:val="en-US" w:eastAsia="zh-CN"/>
              </w:rPr>
              <w:t>邢英杰</w:t>
            </w:r>
            <w:r>
              <w:rPr>
                <w:rFonts w:hint="eastAsia" w:ascii="宋体" w:hAnsi="宋体" w:eastAsia="宋体" w:cs="宋体"/>
                <w:sz w:val="21"/>
                <w:szCs w:val="21"/>
                <w:lang w:val="en-US" w:eastAsia="zh-CN"/>
              </w:rPr>
              <w:t>介绍：组织在运行过程中对发现的不合格都会采取纠正措施，分析原因，举一反三地看待其他部门或类似过程，采取预防措施以防止发生不合格或不符合。</w:t>
            </w:r>
          </w:p>
          <w:p>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组织内审时发现的不符合项进行的原因分析、纠正措施和验证均能满足改进要求。组织内审时未发现</w:t>
            </w:r>
            <w:r>
              <w:rPr>
                <w:rFonts w:hint="eastAsia" w:ascii="宋体" w:hAnsi="宋体" w:cs="宋体"/>
                <w:sz w:val="21"/>
                <w:szCs w:val="21"/>
                <w:lang w:val="en-US" w:eastAsia="zh-CN"/>
              </w:rPr>
              <w:t>综合部</w:t>
            </w:r>
            <w:r>
              <w:rPr>
                <w:rFonts w:hint="eastAsia" w:ascii="宋体" w:hAnsi="宋体" w:eastAsia="宋体" w:cs="宋体"/>
                <w:sz w:val="21"/>
                <w:szCs w:val="21"/>
                <w:lang w:val="en-US" w:eastAsia="zh-CN"/>
              </w:rPr>
              <w:t>有不符合及其整改记录。</w:t>
            </w:r>
          </w:p>
          <w:p>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组织外审的不符合及其纠正措施记录见此次审核的不符合报告记录。</w:t>
            </w:r>
          </w:p>
        </w:tc>
        <w:tc>
          <w:tcPr>
            <w:tcW w:w="1134" w:type="dxa"/>
          </w:tcPr>
          <w:p>
            <w:pPr>
              <w:spacing w:line="360" w:lineRule="auto"/>
              <w:rPr>
                <w:rFonts w:hint="eastAsia" w:ascii="宋体" w:hAnsi="宋体" w:eastAsia="宋体" w:cs="宋体"/>
                <w:color w:val="FF0000"/>
                <w:sz w:val="21"/>
                <w:szCs w:val="21"/>
              </w:rPr>
            </w:pPr>
            <w:r>
              <w:rPr>
                <w:rFonts w:hint="eastAsia"/>
                <w:lang w:val="en-US" w:eastAsia="zh-CN"/>
              </w:rPr>
              <w:t>符合</w:t>
            </w:r>
          </w:p>
        </w:tc>
      </w:tr>
    </w:tbl>
    <w:p>
      <w:pPr>
        <w:rPr>
          <w:rFonts w:ascii="楷体" w:hAnsi="楷体" w:eastAsia="楷体"/>
          <w:color w:val="FF0000"/>
          <w:sz w:val="24"/>
          <w:szCs w:val="24"/>
        </w:rPr>
      </w:pPr>
      <w:r>
        <w:rPr>
          <w:rFonts w:ascii="楷体" w:hAnsi="楷体" w:eastAsia="楷体"/>
          <w:color w:val="FF0000"/>
          <w:sz w:val="24"/>
          <w:szCs w:val="24"/>
        </w:rPr>
        <w:ptab w:relativeTo="margin" w:alignment="center" w:leader="none"/>
      </w:r>
    </w:p>
    <w:p>
      <w:pPr>
        <w:pStyle w:val="8"/>
        <w:rPr>
          <w:rFonts w:hint="eastAsia" w:ascii="楷体" w:hAnsi="楷体" w:eastAsia="楷体"/>
          <w:sz w:val="24"/>
          <w:szCs w:val="24"/>
          <w:lang w:eastAsia="zh-CN"/>
        </w:rPr>
      </w:pPr>
      <w:r>
        <w:rPr>
          <w:rFonts w:hint="eastAsia" w:ascii="楷体" w:hAnsi="楷体" w:eastAsia="楷体"/>
          <w:sz w:val="24"/>
          <w:szCs w:val="24"/>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3"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新LOGO.png"/>
                  <pic:cNvPicPr>
                    <a:picLocks noChangeAspect="1"/>
                  </pic:cNvPicPr>
                </pic:nvPicPr>
                <pic:blipFill>
                  <a:blip r:embed="rId1"/>
                  <a:stretch>
                    <a:fillRect/>
                  </a:stretch>
                </pic:blipFill>
                <pic:spPr>
                  <a:xfrm>
                    <a:off x="0" y="0"/>
                    <a:ext cx="485775" cy="485775"/>
                  </a:xfrm>
                  <a:prstGeom prst="rect">
                    <a:avLst/>
                  </a:prstGeom>
                  <a:noFill/>
                  <a:ln>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a:effectLst/>
                    </wps:spPr>
                    <wps:txbx>
                      <w:txbxContent>
                        <w:p>
                          <w:pPr>
                            <w:rPr>
                              <w:sz w:val="18"/>
                              <w:szCs w:val="18"/>
                            </w:rPr>
                          </w:pPr>
                          <w:r>
                            <w:rPr>
                              <w:rFonts w:hint="eastAsia"/>
                              <w:sz w:val="18"/>
                              <w:szCs w:val="18"/>
                            </w:rPr>
                            <w:t>ISC-B-II-12(05版）</w:t>
                          </w:r>
                        </w:p>
                      </w:txbxContent>
                    </wps:txbx>
                    <wps:bodyPr vert="horz" wrap="square" anchor="t" anchorCtr="0"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kH4RNgAAAAL&#10;AQAADwAAAAAAAAABACAAAAAiAAAAZHJzL2Rvd25yZXYueG1sUEsBAhQAFAAAAAgAh07iQOZzOZbj&#10;AQAAuAMAAA4AAAAAAAAAAQAgAAAAJwEAAGRycy9lMm9Eb2MueG1sUEsFBgAAAAAGAAYAWQEAAHwF&#10;A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9"/>
      <w:pBdr>
        <w:bottom w:val="none" w:color="auto" w:sz="0" w:space="0"/>
      </w:pBdr>
      <w:spacing w:line="320" w:lineRule="exact"/>
      <w:ind w:firstLine="756" w:firstLineChars="400"/>
      <w:jc w:val="left"/>
    </w:pPr>
    <w:r>
      <w:rPr>
        <w:rStyle w:val="18"/>
        <w:rFonts w:hint="default"/>
        <w:w w:val="90"/>
      </w:rPr>
      <w:t>Beijing International Standard united Certification Co.,Ltd.</w:t>
    </w: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xNTRhZmMwYTZhMGE0NzY5YTQ4OGYyNzNkZGE0NDYifQ=="/>
  </w:docVars>
  <w:rsids>
    <w:rsidRoot w:val="00172A27"/>
    <w:rsid w:val="000038DC"/>
    <w:rsid w:val="00004817"/>
    <w:rsid w:val="000146B2"/>
    <w:rsid w:val="00014A12"/>
    <w:rsid w:val="000214B6"/>
    <w:rsid w:val="0002531E"/>
    <w:rsid w:val="000277D0"/>
    <w:rsid w:val="0003138C"/>
    <w:rsid w:val="00032100"/>
    <w:rsid w:val="0003373A"/>
    <w:rsid w:val="00035FB9"/>
    <w:rsid w:val="000412F6"/>
    <w:rsid w:val="00045092"/>
    <w:rsid w:val="0005199E"/>
    <w:rsid w:val="00052580"/>
    <w:rsid w:val="0005697E"/>
    <w:rsid w:val="000579CF"/>
    <w:rsid w:val="00057F65"/>
    <w:rsid w:val="00060270"/>
    <w:rsid w:val="0006102E"/>
    <w:rsid w:val="00061EE8"/>
    <w:rsid w:val="00061F6E"/>
    <w:rsid w:val="00082216"/>
    <w:rsid w:val="00082398"/>
    <w:rsid w:val="00083343"/>
    <w:rsid w:val="000849D2"/>
    <w:rsid w:val="00084DAD"/>
    <w:rsid w:val="000870FB"/>
    <w:rsid w:val="00092F91"/>
    <w:rsid w:val="00094791"/>
    <w:rsid w:val="000A067A"/>
    <w:rsid w:val="000A30F9"/>
    <w:rsid w:val="000A5E44"/>
    <w:rsid w:val="000A6B86"/>
    <w:rsid w:val="000B1394"/>
    <w:rsid w:val="000B40BD"/>
    <w:rsid w:val="000B590A"/>
    <w:rsid w:val="000B6C8F"/>
    <w:rsid w:val="000B6EAD"/>
    <w:rsid w:val="000C123B"/>
    <w:rsid w:val="000C25C3"/>
    <w:rsid w:val="000C2D5B"/>
    <w:rsid w:val="000D0B07"/>
    <w:rsid w:val="000D3B47"/>
    <w:rsid w:val="000D4F09"/>
    <w:rsid w:val="000D5401"/>
    <w:rsid w:val="000D697A"/>
    <w:rsid w:val="000E2B69"/>
    <w:rsid w:val="000E355F"/>
    <w:rsid w:val="000E4402"/>
    <w:rsid w:val="000E7EF7"/>
    <w:rsid w:val="000F35F1"/>
    <w:rsid w:val="000F38E4"/>
    <w:rsid w:val="000F7D53"/>
    <w:rsid w:val="001022F1"/>
    <w:rsid w:val="001037D5"/>
    <w:rsid w:val="00106F20"/>
    <w:rsid w:val="001076D1"/>
    <w:rsid w:val="00123A35"/>
    <w:rsid w:val="00124A78"/>
    <w:rsid w:val="00132572"/>
    <w:rsid w:val="001350FB"/>
    <w:rsid w:val="00135F92"/>
    <w:rsid w:val="00145688"/>
    <w:rsid w:val="001456CB"/>
    <w:rsid w:val="001462CD"/>
    <w:rsid w:val="00147EDB"/>
    <w:rsid w:val="001564F9"/>
    <w:rsid w:val="001662A1"/>
    <w:rsid w:val="001677C1"/>
    <w:rsid w:val="00170B6A"/>
    <w:rsid w:val="0017204F"/>
    <w:rsid w:val="00176572"/>
    <w:rsid w:val="00176B5D"/>
    <w:rsid w:val="00181F3C"/>
    <w:rsid w:val="001833DD"/>
    <w:rsid w:val="00183631"/>
    <w:rsid w:val="00187C5A"/>
    <w:rsid w:val="001918ED"/>
    <w:rsid w:val="00192A7F"/>
    <w:rsid w:val="001940FC"/>
    <w:rsid w:val="00194D96"/>
    <w:rsid w:val="001972C0"/>
    <w:rsid w:val="0019757E"/>
    <w:rsid w:val="001A2D7F"/>
    <w:rsid w:val="001A3DF8"/>
    <w:rsid w:val="001A572D"/>
    <w:rsid w:val="001B324E"/>
    <w:rsid w:val="001B36F4"/>
    <w:rsid w:val="001B6887"/>
    <w:rsid w:val="001B6E5E"/>
    <w:rsid w:val="001B700E"/>
    <w:rsid w:val="001C0776"/>
    <w:rsid w:val="001C2BC9"/>
    <w:rsid w:val="001C34EA"/>
    <w:rsid w:val="001C39CB"/>
    <w:rsid w:val="001C6B2A"/>
    <w:rsid w:val="001C71C5"/>
    <w:rsid w:val="001D1D7C"/>
    <w:rsid w:val="001D4AD8"/>
    <w:rsid w:val="001D54FF"/>
    <w:rsid w:val="001D5787"/>
    <w:rsid w:val="001E1974"/>
    <w:rsid w:val="001E312D"/>
    <w:rsid w:val="001E72C1"/>
    <w:rsid w:val="001F71E8"/>
    <w:rsid w:val="00202BC2"/>
    <w:rsid w:val="00214113"/>
    <w:rsid w:val="00215081"/>
    <w:rsid w:val="00222532"/>
    <w:rsid w:val="00235ED5"/>
    <w:rsid w:val="00237445"/>
    <w:rsid w:val="00245047"/>
    <w:rsid w:val="00245CB6"/>
    <w:rsid w:val="00253CBF"/>
    <w:rsid w:val="00262DC0"/>
    <w:rsid w:val="002651A6"/>
    <w:rsid w:val="002715B5"/>
    <w:rsid w:val="002760CB"/>
    <w:rsid w:val="0027659A"/>
    <w:rsid w:val="002769EB"/>
    <w:rsid w:val="0028195E"/>
    <w:rsid w:val="00282AB8"/>
    <w:rsid w:val="0029464B"/>
    <w:rsid w:val="002973F0"/>
    <w:rsid w:val="002975C1"/>
    <w:rsid w:val="002A0E6E"/>
    <w:rsid w:val="002A3262"/>
    <w:rsid w:val="002A33CC"/>
    <w:rsid w:val="002A4A4F"/>
    <w:rsid w:val="002A62D8"/>
    <w:rsid w:val="002B1808"/>
    <w:rsid w:val="002C1ACE"/>
    <w:rsid w:val="002C3E0D"/>
    <w:rsid w:val="002C60B0"/>
    <w:rsid w:val="002D41FB"/>
    <w:rsid w:val="002E0587"/>
    <w:rsid w:val="002E1E1D"/>
    <w:rsid w:val="002E72F8"/>
    <w:rsid w:val="002F030C"/>
    <w:rsid w:val="002F1DCE"/>
    <w:rsid w:val="003006E2"/>
    <w:rsid w:val="003120F5"/>
    <w:rsid w:val="00317401"/>
    <w:rsid w:val="00317FAF"/>
    <w:rsid w:val="0032112D"/>
    <w:rsid w:val="00326FC1"/>
    <w:rsid w:val="00330DBC"/>
    <w:rsid w:val="00337922"/>
    <w:rsid w:val="00340867"/>
    <w:rsid w:val="00342857"/>
    <w:rsid w:val="00350CBB"/>
    <w:rsid w:val="00351CD4"/>
    <w:rsid w:val="003608CB"/>
    <w:rsid w:val="00360D60"/>
    <w:rsid w:val="003627B6"/>
    <w:rsid w:val="003675FE"/>
    <w:rsid w:val="003708D5"/>
    <w:rsid w:val="0037587D"/>
    <w:rsid w:val="0038061A"/>
    <w:rsid w:val="0038063B"/>
    <w:rsid w:val="00380837"/>
    <w:rsid w:val="00382EDD"/>
    <w:rsid w:val="003836CA"/>
    <w:rsid w:val="00386A98"/>
    <w:rsid w:val="00392D5A"/>
    <w:rsid w:val="003947A2"/>
    <w:rsid w:val="003A02F4"/>
    <w:rsid w:val="003A1E9C"/>
    <w:rsid w:val="003A57BB"/>
    <w:rsid w:val="003A62C3"/>
    <w:rsid w:val="003B0E41"/>
    <w:rsid w:val="003B63F4"/>
    <w:rsid w:val="003B686D"/>
    <w:rsid w:val="003B6EB8"/>
    <w:rsid w:val="003C05B2"/>
    <w:rsid w:val="003D1723"/>
    <w:rsid w:val="003D470D"/>
    <w:rsid w:val="003D6BE3"/>
    <w:rsid w:val="003E0E52"/>
    <w:rsid w:val="003E2C93"/>
    <w:rsid w:val="003F20A5"/>
    <w:rsid w:val="003F6D4B"/>
    <w:rsid w:val="00400B96"/>
    <w:rsid w:val="00401C89"/>
    <w:rsid w:val="00405AA6"/>
    <w:rsid w:val="00405D57"/>
    <w:rsid w:val="00405D5F"/>
    <w:rsid w:val="00410914"/>
    <w:rsid w:val="00415AA3"/>
    <w:rsid w:val="00420650"/>
    <w:rsid w:val="00420C60"/>
    <w:rsid w:val="00424601"/>
    <w:rsid w:val="004254A5"/>
    <w:rsid w:val="00425914"/>
    <w:rsid w:val="0043032D"/>
    <w:rsid w:val="00430432"/>
    <w:rsid w:val="00433759"/>
    <w:rsid w:val="0043494E"/>
    <w:rsid w:val="00435641"/>
    <w:rsid w:val="00440BBC"/>
    <w:rsid w:val="004414A5"/>
    <w:rsid w:val="00441B50"/>
    <w:rsid w:val="004428CE"/>
    <w:rsid w:val="00456697"/>
    <w:rsid w:val="00463AD4"/>
    <w:rsid w:val="00463F22"/>
    <w:rsid w:val="00465FE1"/>
    <w:rsid w:val="00475491"/>
    <w:rsid w:val="00484B84"/>
    <w:rsid w:val="004869FB"/>
    <w:rsid w:val="00491735"/>
    <w:rsid w:val="00494A46"/>
    <w:rsid w:val="004A1070"/>
    <w:rsid w:val="004A3578"/>
    <w:rsid w:val="004A4AF8"/>
    <w:rsid w:val="004A7106"/>
    <w:rsid w:val="004B217F"/>
    <w:rsid w:val="004B3E7F"/>
    <w:rsid w:val="004C07FE"/>
    <w:rsid w:val="004C3A73"/>
    <w:rsid w:val="004C5731"/>
    <w:rsid w:val="004C5BFE"/>
    <w:rsid w:val="004C78A9"/>
    <w:rsid w:val="004D3E4C"/>
    <w:rsid w:val="004D55E7"/>
    <w:rsid w:val="004D62EF"/>
    <w:rsid w:val="004D631F"/>
    <w:rsid w:val="004E5609"/>
    <w:rsid w:val="004E61BC"/>
    <w:rsid w:val="004F185D"/>
    <w:rsid w:val="004F3000"/>
    <w:rsid w:val="005052B3"/>
    <w:rsid w:val="005056ED"/>
    <w:rsid w:val="00505819"/>
    <w:rsid w:val="005064D2"/>
    <w:rsid w:val="00513B4A"/>
    <w:rsid w:val="00515C94"/>
    <w:rsid w:val="00517E4C"/>
    <w:rsid w:val="00521BB1"/>
    <w:rsid w:val="00521CF0"/>
    <w:rsid w:val="00527341"/>
    <w:rsid w:val="00531857"/>
    <w:rsid w:val="0053208B"/>
    <w:rsid w:val="0053278B"/>
    <w:rsid w:val="00533351"/>
    <w:rsid w:val="005345E9"/>
    <w:rsid w:val="00534814"/>
    <w:rsid w:val="00536930"/>
    <w:rsid w:val="00541AE2"/>
    <w:rsid w:val="00544CA6"/>
    <w:rsid w:val="00546B18"/>
    <w:rsid w:val="00546D5F"/>
    <w:rsid w:val="00552BDE"/>
    <w:rsid w:val="005571F6"/>
    <w:rsid w:val="00560A2A"/>
    <w:rsid w:val="00564E53"/>
    <w:rsid w:val="00571FB2"/>
    <w:rsid w:val="00576C70"/>
    <w:rsid w:val="00583277"/>
    <w:rsid w:val="00592922"/>
    <w:rsid w:val="00592C3E"/>
    <w:rsid w:val="00597617"/>
    <w:rsid w:val="005A000F"/>
    <w:rsid w:val="005B173D"/>
    <w:rsid w:val="005B660F"/>
    <w:rsid w:val="005B6888"/>
    <w:rsid w:val="005D1D88"/>
    <w:rsid w:val="005E1938"/>
    <w:rsid w:val="005F312F"/>
    <w:rsid w:val="005F4B58"/>
    <w:rsid w:val="005F522D"/>
    <w:rsid w:val="005F6C65"/>
    <w:rsid w:val="00600F02"/>
    <w:rsid w:val="006011CF"/>
    <w:rsid w:val="00601460"/>
    <w:rsid w:val="006014D4"/>
    <w:rsid w:val="0060444D"/>
    <w:rsid w:val="00605910"/>
    <w:rsid w:val="006072BE"/>
    <w:rsid w:val="0061191A"/>
    <w:rsid w:val="006155A7"/>
    <w:rsid w:val="00623037"/>
    <w:rsid w:val="00624222"/>
    <w:rsid w:val="006318A1"/>
    <w:rsid w:val="00632DE1"/>
    <w:rsid w:val="00642776"/>
    <w:rsid w:val="00642D31"/>
    <w:rsid w:val="00644FE2"/>
    <w:rsid w:val="00645E5C"/>
    <w:rsid w:val="00645FB8"/>
    <w:rsid w:val="00651986"/>
    <w:rsid w:val="00652F53"/>
    <w:rsid w:val="00653DC7"/>
    <w:rsid w:val="006545E8"/>
    <w:rsid w:val="00660E81"/>
    <w:rsid w:val="00664736"/>
    <w:rsid w:val="00665980"/>
    <w:rsid w:val="006711B0"/>
    <w:rsid w:val="0067640C"/>
    <w:rsid w:val="00682F4E"/>
    <w:rsid w:val="006836D9"/>
    <w:rsid w:val="0068548D"/>
    <w:rsid w:val="00691265"/>
    <w:rsid w:val="006946B4"/>
    <w:rsid w:val="00695256"/>
    <w:rsid w:val="00695570"/>
    <w:rsid w:val="006958B3"/>
    <w:rsid w:val="006969F1"/>
    <w:rsid w:val="00696AF1"/>
    <w:rsid w:val="006A3B31"/>
    <w:rsid w:val="006A68F3"/>
    <w:rsid w:val="006B0113"/>
    <w:rsid w:val="006B2C63"/>
    <w:rsid w:val="006B39AA"/>
    <w:rsid w:val="006B4127"/>
    <w:rsid w:val="006B4F28"/>
    <w:rsid w:val="006C24BF"/>
    <w:rsid w:val="006C40B9"/>
    <w:rsid w:val="006D4DF7"/>
    <w:rsid w:val="006E4893"/>
    <w:rsid w:val="006E678B"/>
    <w:rsid w:val="006E762B"/>
    <w:rsid w:val="006F3F2A"/>
    <w:rsid w:val="0070367F"/>
    <w:rsid w:val="00705251"/>
    <w:rsid w:val="00710655"/>
    <w:rsid w:val="00710688"/>
    <w:rsid w:val="00712F3C"/>
    <w:rsid w:val="007170AA"/>
    <w:rsid w:val="007175F5"/>
    <w:rsid w:val="007205B1"/>
    <w:rsid w:val="0072638A"/>
    <w:rsid w:val="00726642"/>
    <w:rsid w:val="00732B66"/>
    <w:rsid w:val="007378E4"/>
    <w:rsid w:val="00737C8F"/>
    <w:rsid w:val="007406DE"/>
    <w:rsid w:val="00740E7F"/>
    <w:rsid w:val="00743E79"/>
    <w:rsid w:val="00744BEA"/>
    <w:rsid w:val="00751532"/>
    <w:rsid w:val="00751C37"/>
    <w:rsid w:val="00754C46"/>
    <w:rsid w:val="0075769B"/>
    <w:rsid w:val="007618BC"/>
    <w:rsid w:val="00765D3B"/>
    <w:rsid w:val="00772340"/>
    <w:rsid w:val="007737BA"/>
    <w:rsid w:val="007757F3"/>
    <w:rsid w:val="007815DC"/>
    <w:rsid w:val="007839F5"/>
    <w:rsid w:val="00787C80"/>
    <w:rsid w:val="00790D5E"/>
    <w:rsid w:val="00790FC6"/>
    <w:rsid w:val="00795FA6"/>
    <w:rsid w:val="007A47FB"/>
    <w:rsid w:val="007A6E97"/>
    <w:rsid w:val="007B106B"/>
    <w:rsid w:val="007B275D"/>
    <w:rsid w:val="007B35C5"/>
    <w:rsid w:val="007B668F"/>
    <w:rsid w:val="007C7773"/>
    <w:rsid w:val="007E6AEB"/>
    <w:rsid w:val="007E6B6E"/>
    <w:rsid w:val="007E7C11"/>
    <w:rsid w:val="007F01EC"/>
    <w:rsid w:val="007F05DB"/>
    <w:rsid w:val="007F6A62"/>
    <w:rsid w:val="007F7DF2"/>
    <w:rsid w:val="008015B9"/>
    <w:rsid w:val="00803706"/>
    <w:rsid w:val="0080433F"/>
    <w:rsid w:val="008079FA"/>
    <w:rsid w:val="00810D58"/>
    <w:rsid w:val="00815AF5"/>
    <w:rsid w:val="008160E3"/>
    <w:rsid w:val="008343CB"/>
    <w:rsid w:val="00834F70"/>
    <w:rsid w:val="00835B31"/>
    <w:rsid w:val="00850591"/>
    <w:rsid w:val="008575F9"/>
    <w:rsid w:val="008638DE"/>
    <w:rsid w:val="00863B20"/>
    <w:rsid w:val="008646DE"/>
    <w:rsid w:val="00864902"/>
    <w:rsid w:val="00864BE7"/>
    <w:rsid w:val="00865200"/>
    <w:rsid w:val="00871695"/>
    <w:rsid w:val="00884594"/>
    <w:rsid w:val="00885631"/>
    <w:rsid w:val="00886006"/>
    <w:rsid w:val="00890397"/>
    <w:rsid w:val="00891C25"/>
    <w:rsid w:val="00894200"/>
    <w:rsid w:val="008973EE"/>
    <w:rsid w:val="008A5C1F"/>
    <w:rsid w:val="008A7C7E"/>
    <w:rsid w:val="008B21BA"/>
    <w:rsid w:val="008B4EE2"/>
    <w:rsid w:val="008B5C49"/>
    <w:rsid w:val="008B7644"/>
    <w:rsid w:val="008C199E"/>
    <w:rsid w:val="008C1CA5"/>
    <w:rsid w:val="008D089D"/>
    <w:rsid w:val="008E0E14"/>
    <w:rsid w:val="008E792C"/>
    <w:rsid w:val="008F0B04"/>
    <w:rsid w:val="008F6788"/>
    <w:rsid w:val="008F7C55"/>
    <w:rsid w:val="00900D9B"/>
    <w:rsid w:val="00901BAF"/>
    <w:rsid w:val="0091272B"/>
    <w:rsid w:val="00915512"/>
    <w:rsid w:val="00916265"/>
    <w:rsid w:val="00930694"/>
    <w:rsid w:val="00932193"/>
    <w:rsid w:val="00932BE6"/>
    <w:rsid w:val="0093521F"/>
    <w:rsid w:val="0093786C"/>
    <w:rsid w:val="00940352"/>
    <w:rsid w:val="00945677"/>
    <w:rsid w:val="0095571F"/>
    <w:rsid w:val="00955B84"/>
    <w:rsid w:val="0095689B"/>
    <w:rsid w:val="009619EF"/>
    <w:rsid w:val="00962F78"/>
    <w:rsid w:val="00964CF5"/>
    <w:rsid w:val="00965A0E"/>
    <w:rsid w:val="0096609F"/>
    <w:rsid w:val="00967EF7"/>
    <w:rsid w:val="00970DA2"/>
    <w:rsid w:val="00971600"/>
    <w:rsid w:val="00972B2C"/>
    <w:rsid w:val="009769AA"/>
    <w:rsid w:val="00984342"/>
    <w:rsid w:val="0099301F"/>
    <w:rsid w:val="009969D2"/>
    <w:rsid w:val="009973B4"/>
    <w:rsid w:val="009A1279"/>
    <w:rsid w:val="009A4B5C"/>
    <w:rsid w:val="009B0EBA"/>
    <w:rsid w:val="009B17BA"/>
    <w:rsid w:val="009B3649"/>
    <w:rsid w:val="009B4D68"/>
    <w:rsid w:val="009B6AB3"/>
    <w:rsid w:val="009B7EB8"/>
    <w:rsid w:val="009C131F"/>
    <w:rsid w:val="009C2CA5"/>
    <w:rsid w:val="009D1075"/>
    <w:rsid w:val="009D1A3F"/>
    <w:rsid w:val="009D2F66"/>
    <w:rsid w:val="009D57CF"/>
    <w:rsid w:val="009D6FFB"/>
    <w:rsid w:val="009D7E70"/>
    <w:rsid w:val="009E2238"/>
    <w:rsid w:val="009E30DA"/>
    <w:rsid w:val="009E3D68"/>
    <w:rsid w:val="009E461A"/>
    <w:rsid w:val="009E6193"/>
    <w:rsid w:val="009E7DD1"/>
    <w:rsid w:val="009F7BFC"/>
    <w:rsid w:val="009F7EED"/>
    <w:rsid w:val="00A0091F"/>
    <w:rsid w:val="00A0615F"/>
    <w:rsid w:val="00A06235"/>
    <w:rsid w:val="00A0721A"/>
    <w:rsid w:val="00A138EC"/>
    <w:rsid w:val="00A13A49"/>
    <w:rsid w:val="00A211B3"/>
    <w:rsid w:val="00A23822"/>
    <w:rsid w:val="00A3538B"/>
    <w:rsid w:val="00A378F6"/>
    <w:rsid w:val="00A41F32"/>
    <w:rsid w:val="00A4482F"/>
    <w:rsid w:val="00A50B4B"/>
    <w:rsid w:val="00A52368"/>
    <w:rsid w:val="00A54B81"/>
    <w:rsid w:val="00A61009"/>
    <w:rsid w:val="00A648EC"/>
    <w:rsid w:val="00A7519D"/>
    <w:rsid w:val="00A801DE"/>
    <w:rsid w:val="00A811EC"/>
    <w:rsid w:val="00A81FD7"/>
    <w:rsid w:val="00A824AF"/>
    <w:rsid w:val="00A90A22"/>
    <w:rsid w:val="00A969B9"/>
    <w:rsid w:val="00A97734"/>
    <w:rsid w:val="00AA1858"/>
    <w:rsid w:val="00AA7F40"/>
    <w:rsid w:val="00AB41FC"/>
    <w:rsid w:val="00AB4BF4"/>
    <w:rsid w:val="00AB7D2F"/>
    <w:rsid w:val="00AC24B1"/>
    <w:rsid w:val="00AC260E"/>
    <w:rsid w:val="00AD145D"/>
    <w:rsid w:val="00AD20E6"/>
    <w:rsid w:val="00AD3ACD"/>
    <w:rsid w:val="00AD6F34"/>
    <w:rsid w:val="00AE020D"/>
    <w:rsid w:val="00AE187C"/>
    <w:rsid w:val="00AF0AAB"/>
    <w:rsid w:val="00AF156F"/>
    <w:rsid w:val="00AF3B58"/>
    <w:rsid w:val="00AF616B"/>
    <w:rsid w:val="00B034AD"/>
    <w:rsid w:val="00B04169"/>
    <w:rsid w:val="00B0685B"/>
    <w:rsid w:val="00B14206"/>
    <w:rsid w:val="00B22D22"/>
    <w:rsid w:val="00B23030"/>
    <w:rsid w:val="00B237B9"/>
    <w:rsid w:val="00B23CAA"/>
    <w:rsid w:val="00B2489D"/>
    <w:rsid w:val="00B410EE"/>
    <w:rsid w:val="00B63BD0"/>
    <w:rsid w:val="00B72906"/>
    <w:rsid w:val="00B73B0E"/>
    <w:rsid w:val="00B73EA8"/>
    <w:rsid w:val="00B8202D"/>
    <w:rsid w:val="00B82181"/>
    <w:rsid w:val="00B826F3"/>
    <w:rsid w:val="00B853CE"/>
    <w:rsid w:val="00B91271"/>
    <w:rsid w:val="00B91605"/>
    <w:rsid w:val="00B91895"/>
    <w:rsid w:val="00B9211F"/>
    <w:rsid w:val="00B929FD"/>
    <w:rsid w:val="00B95B99"/>
    <w:rsid w:val="00B95F69"/>
    <w:rsid w:val="00B95F75"/>
    <w:rsid w:val="00BA4A2A"/>
    <w:rsid w:val="00BB6AD3"/>
    <w:rsid w:val="00BB7929"/>
    <w:rsid w:val="00BC0122"/>
    <w:rsid w:val="00BC16C1"/>
    <w:rsid w:val="00BC2015"/>
    <w:rsid w:val="00BC66FE"/>
    <w:rsid w:val="00BC71B0"/>
    <w:rsid w:val="00BD4E08"/>
    <w:rsid w:val="00BD6DBC"/>
    <w:rsid w:val="00BE17FE"/>
    <w:rsid w:val="00BE363D"/>
    <w:rsid w:val="00BE3E2D"/>
    <w:rsid w:val="00BE7E93"/>
    <w:rsid w:val="00BF027B"/>
    <w:rsid w:val="00BF4590"/>
    <w:rsid w:val="00BF597E"/>
    <w:rsid w:val="00C03098"/>
    <w:rsid w:val="00C10351"/>
    <w:rsid w:val="00C10EF3"/>
    <w:rsid w:val="00C14685"/>
    <w:rsid w:val="00C31C73"/>
    <w:rsid w:val="00C5112E"/>
    <w:rsid w:val="00C513CB"/>
    <w:rsid w:val="00C51A36"/>
    <w:rsid w:val="00C548BE"/>
    <w:rsid w:val="00C55228"/>
    <w:rsid w:val="00C62031"/>
    <w:rsid w:val="00C67E19"/>
    <w:rsid w:val="00C67E47"/>
    <w:rsid w:val="00C71E85"/>
    <w:rsid w:val="00C73C26"/>
    <w:rsid w:val="00C745AF"/>
    <w:rsid w:val="00C750BE"/>
    <w:rsid w:val="00C76A3E"/>
    <w:rsid w:val="00C86F9B"/>
    <w:rsid w:val="00C87FEE"/>
    <w:rsid w:val="00C90930"/>
    <w:rsid w:val="00C9113A"/>
    <w:rsid w:val="00C920A9"/>
    <w:rsid w:val="00C93340"/>
    <w:rsid w:val="00C941A7"/>
    <w:rsid w:val="00CB0154"/>
    <w:rsid w:val="00CB0D49"/>
    <w:rsid w:val="00CB127F"/>
    <w:rsid w:val="00CB260B"/>
    <w:rsid w:val="00CB3729"/>
    <w:rsid w:val="00CB43FE"/>
    <w:rsid w:val="00CB49F0"/>
    <w:rsid w:val="00CC2A01"/>
    <w:rsid w:val="00CC6864"/>
    <w:rsid w:val="00CD394A"/>
    <w:rsid w:val="00CD6C83"/>
    <w:rsid w:val="00CE0AA5"/>
    <w:rsid w:val="00CE2A9E"/>
    <w:rsid w:val="00CE315A"/>
    <w:rsid w:val="00CE4B8A"/>
    <w:rsid w:val="00CE7BE1"/>
    <w:rsid w:val="00CF1062"/>
    <w:rsid w:val="00CF147A"/>
    <w:rsid w:val="00CF1726"/>
    <w:rsid w:val="00CF5473"/>
    <w:rsid w:val="00CF5717"/>
    <w:rsid w:val="00CF6C5C"/>
    <w:rsid w:val="00CF7295"/>
    <w:rsid w:val="00D004F0"/>
    <w:rsid w:val="00D06F59"/>
    <w:rsid w:val="00D209B7"/>
    <w:rsid w:val="00D21AF9"/>
    <w:rsid w:val="00D3392D"/>
    <w:rsid w:val="00D34A3D"/>
    <w:rsid w:val="00D34C3B"/>
    <w:rsid w:val="00D379ED"/>
    <w:rsid w:val="00D37D1B"/>
    <w:rsid w:val="00D41F5E"/>
    <w:rsid w:val="00D429D7"/>
    <w:rsid w:val="00D42D53"/>
    <w:rsid w:val="00D55E69"/>
    <w:rsid w:val="00D562F6"/>
    <w:rsid w:val="00D74FBF"/>
    <w:rsid w:val="00D7717E"/>
    <w:rsid w:val="00D80770"/>
    <w:rsid w:val="00D83050"/>
    <w:rsid w:val="00D8388C"/>
    <w:rsid w:val="00D90417"/>
    <w:rsid w:val="00D94B75"/>
    <w:rsid w:val="00D97182"/>
    <w:rsid w:val="00DA0DF0"/>
    <w:rsid w:val="00DB1D00"/>
    <w:rsid w:val="00DD10DC"/>
    <w:rsid w:val="00DD1C8E"/>
    <w:rsid w:val="00DD1D21"/>
    <w:rsid w:val="00DD7876"/>
    <w:rsid w:val="00DE146D"/>
    <w:rsid w:val="00DE2D80"/>
    <w:rsid w:val="00DE6FCE"/>
    <w:rsid w:val="00DF1C4B"/>
    <w:rsid w:val="00DF6570"/>
    <w:rsid w:val="00DF76DB"/>
    <w:rsid w:val="00E038E4"/>
    <w:rsid w:val="00E0475D"/>
    <w:rsid w:val="00E0521C"/>
    <w:rsid w:val="00E0565B"/>
    <w:rsid w:val="00E070B7"/>
    <w:rsid w:val="00E11CD7"/>
    <w:rsid w:val="00E13D9A"/>
    <w:rsid w:val="00E14BA9"/>
    <w:rsid w:val="00E221C3"/>
    <w:rsid w:val="00E31F2E"/>
    <w:rsid w:val="00E32D13"/>
    <w:rsid w:val="00E34C52"/>
    <w:rsid w:val="00E43822"/>
    <w:rsid w:val="00E43A35"/>
    <w:rsid w:val="00E457E0"/>
    <w:rsid w:val="00E45C87"/>
    <w:rsid w:val="00E54035"/>
    <w:rsid w:val="00E5717A"/>
    <w:rsid w:val="00E62996"/>
    <w:rsid w:val="00E63714"/>
    <w:rsid w:val="00E64A51"/>
    <w:rsid w:val="00E6527A"/>
    <w:rsid w:val="00E676F9"/>
    <w:rsid w:val="00E67C09"/>
    <w:rsid w:val="00E910C0"/>
    <w:rsid w:val="00E954BE"/>
    <w:rsid w:val="00E95637"/>
    <w:rsid w:val="00E97424"/>
    <w:rsid w:val="00EA55F7"/>
    <w:rsid w:val="00EA5870"/>
    <w:rsid w:val="00EB0164"/>
    <w:rsid w:val="00EB5DF5"/>
    <w:rsid w:val="00EB65F7"/>
    <w:rsid w:val="00EC012F"/>
    <w:rsid w:val="00EC42F5"/>
    <w:rsid w:val="00ED0F62"/>
    <w:rsid w:val="00ED49CB"/>
    <w:rsid w:val="00EE0EBE"/>
    <w:rsid w:val="00EE5CD9"/>
    <w:rsid w:val="00EE6713"/>
    <w:rsid w:val="00EE6F50"/>
    <w:rsid w:val="00EF29B6"/>
    <w:rsid w:val="00EF3569"/>
    <w:rsid w:val="00EF36E7"/>
    <w:rsid w:val="00F06B25"/>
    <w:rsid w:val="00F06D09"/>
    <w:rsid w:val="00F079BB"/>
    <w:rsid w:val="00F11201"/>
    <w:rsid w:val="00F115BF"/>
    <w:rsid w:val="00F14D99"/>
    <w:rsid w:val="00F2038C"/>
    <w:rsid w:val="00F25AFF"/>
    <w:rsid w:val="00F31E8A"/>
    <w:rsid w:val="00F32CB9"/>
    <w:rsid w:val="00F33729"/>
    <w:rsid w:val="00F3372A"/>
    <w:rsid w:val="00F35CD7"/>
    <w:rsid w:val="00F3666E"/>
    <w:rsid w:val="00F36BE9"/>
    <w:rsid w:val="00F377A9"/>
    <w:rsid w:val="00F41617"/>
    <w:rsid w:val="00F42776"/>
    <w:rsid w:val="00F44D4E"/>
    <w:rsid w:val="00F47878"/>
    <w:rsid w:val="00F55DB9"/>
    <w:rsid w:val="00F606E1"/>
    <w:rsid w:val="00F63F72"/>
    <w:rsid w:val="00F66C77"/>
    <w:rsid w:val="00F6739D"/>
    <w:rsid w:val="00F83639"/>
    <w:rsid w:val="00F83EB6"/>
    <w:rsid w:val="00F840C3"/>
    <w:rsid w:val="00F856F5"/>
    <w:rsid w:val="00F8598C"/>
    <w:rsid w:val="00F956F5"/>
    <w:rsid w:val="00F97505"/>
    <w:rsid w:val="00FA0833"/>
    <w:rsid w:val="00FA2988"/>
    <w:rsid w:val="00FA350D"/>
    <w:rsid w:val="00FB03C3"/>
    <w:rsid w:val="00FB150B"/>
    <w:rsid w:val="00FB5A65"/>
    <w:rsid w:val="00FB6C45"/>
    <w:rsid w:val="00FC01AB"/>
    <w:rsid w:val="00FC2F86"/>
    <w:rsid w:val="00FC5A11"/>
    <w:rsid w:val="00FD0A28"/>
    <w:rsid w:val="00FD2869"/>
    <w:rsid w:val="00FD5EE5"/>
    <w:rsid w:val="00FD72A6"/>
    <w:rsid w:val="00FE09C9"/>
    <w:rsid w:val="00FE3DB1"/>
    <w:rsid w:val="00FE62BD"/>
    <w:rsid w:val="01D134FA"/>
    <w:rsid w:val="029E3E9D"/>
    <w:rsid w:val="03B05DD2"/>
    <w:rsid w:val="04975E7B"/>
    <w:rsid w:val="04AD7831"/>
    <w:rsid w:val="052B23E6"/>
    <w:rsid w:val="05483AD3"/>
    <w:rsid w:val="05F95B1B"/>
    <w:rsid w:val="061137A1"/>
    <w:rsid w:val="07EF0236"/>
    <w:rsid w:val="07F10452"/>
    <w:rsid w:val="07F752A5"/>
    <w:rsid w:val="088E3860"/>
    <w:rsid w:val="09374DB2"/>
    <w:rsid w:val="09774987"/>
    <w:rsid w:val="09C37DDF"/>
    <w:rsid w:val="09FC71BC"/>
    <w:rsid w:val="0A563076"/>
    <w:rsid w:val="0B1A1A6E"/>
    <w:rsid w:val="0B2F486A"/>
    <w:rsid w:val="0B9B5954"/>
    <w:rsid w:val="0BD36EDC"/>
    <w:rsid w:val="0C1C1DCA"/>
    <w:rsid w:val="0C3648AD"/>
    <w:rsid w:val="0CE2480D"/>
    <w:rsid w:val="0DE3083D"/>
    <w:rsid w:val="104F40E4"/>
    <w:rsid w:val="108219C2"/>
    <w:rsid w:val="120410B5"/>
    <w:rsid w:val="12563740"/>
    <w:rsid w:val="12A83E03"/>
    <w:rsid w:val="143D057B"/>
    <w:rsid w:val="148F527B"/>
    <w:rsid w:val="154B63E3"/>
    <w:rsid w:val="15C96FDF"/>
    <w:rsid w:val="15E74CB1"/>
    <w:rsid w:val="15FE473B"/>
    <w:rsid w:val="16390CF7"/>
    <w:rsid w:val="16BC60CF"/>
    <w:rsid w:val="16EA49EA"/>
    <w:rsid w:val="18C80D5B"/>
    <w:rsid w:val="18D4070E"/>
    <w:rsid w:val="194574E2"/>
    <w:rsid w:val="198B71C0"/>
    <w:rsid w:val="19D770FB"/>
    <w:rsid w:val="19FF69FF"/>
    <w:rsid w:val="1A5C1888"/>
    <w:rsid w:val="1AD81C90"/>
    <w:rsid w:val="1B5D7D5F"/>
    <w:rsid w:val="1B7156DA"/>
    <w:rsid w:val="1B777320"/>
    <w:rsid w:val="1C42303D"/>
    <w:rsid w:val="1C9B31A0"/>
    <w:rsid w:val="1CE343B6"/>
    <w:rsid w:val="1D807E56"/>
    <w:rsid w:val="1DAA77A7"/>
    <w:rsid w:val="1DC8247E"/>
    <w:rsid w:val="1E5344F9"/>
    <w:rsid w:val="1F015D71"/>
    <w:rsid w:val="1F4C5B16"/>
    <w:rsid w:val="1F6E4C84"/>
    <w:rsid w:val="1F996119"/>
    <w:rsid w:val="201E1C07"/>
    <w:rsid w:val="2171736E"/>
    <w:rsid w:val="22C27589"/>
    <w:rsid w:val="22DA67A0"/>
    <w:rsid w:val="231B7E62"/>
    <w:rsid w:val="23646952"/>
    <w:rsid w:val="24114171"/>
    <w:rsid w:val="243702D0"/>
    <w:rsid w:val="261E6BA2"/>
    <w:rsid w:val="274C6FFB"/>
    <w:rsid w:val="27764507"/>
    <w:rsid w:val="28494E93"/>
    <w:rsid w:val="28713714"/>
    <w:rsid w:val="2A067935"/>
    <w:rsid w:val="2A731D21"/>
    <w:rsid w:val="2A8F792B"/>
    <w:rsid w:val="2A904FAE"/>
    <w:rsid w:val="2AAF76B8"/>
    <w:rsid w:val="2AED0609"/>
    <w:rsid w:val="2AFC4894"/>
    <w:rsid w:val="2BF3446C"/>
    <w:rsid w:val="2C0F23A5"/>
    <w:rsid w:val="2D1E5BDE"/>
    <w:rsid w:val="2D202ABC"/>
    <w:rsid w:val="2EAB0AAB"/>
    <w:rsid w:val="2F37233F"/>
    <w:rsid w:val="30A925BF"/>
    <w:rsid w:val="30D1169A"/>
    <w:rsid w:val="313660F3"/>
    <w:rsid w:val="31A64B75"/>
    <w:rsid w:val="321F6EB1"/>
    <w:rsid w:val="32DA1B9A"/>
    <w:rsid w:val="32EE73AD"/>
    <w:rsid w:val="33510E6D"/>
    <w:rsid w:val="33600675"/>
    <w:rsid w:val="356857B7"/>
    <w:rsid w:val="37954704"/>
    <w:rsid w:val="37BF0F9F"/>
    <w:rsid w:val="3862042D"/>
    <w:rsid w:val="38816CDE"/>
    <w:rsid w:val="38877E6A"/>
    <w:rsid w:val="394D4817"/>
    <w:rsid w:val="39D52D6D"/>
    <w:rsid w:val="3A3312D0"/>
    <w:rsid w:val="3B1C4698"/>
    <w:rsid w:val="3B626996"/>
    <w:rsid w:val="3BD82AF5"/>
    <w:rsid w:val="3BFC415B"/>
    <w:rsid w:val="3C074EDE"/>
    <w:rsid w:val="3DBD4389"/>
    <w:rsid w:val="3DE54753"/>
    <w:rsid w:val="3EAF182F"/>
    <w:rsid w:val="3F5F2B6E"/>
    <w:rsid w:val="40616A59"/>
    <w:rsid w:val="40646B49"/>
    <w:rsid w:val="408F1FDB"/>
    <w:rsid w:val="40937260"/>
    <w:rsid w:val="40E5033C"/>
    <w:rsid w:val="41452699"/>
    <w:rsid w:val="41967399"/>
    <w:rsid w:val="42010CB6"/>
    <w:rsid w:val="43AB3491"/>
    <w:rsid w:val="43E26C61"/>
    <w:rsid w:val="442059FF"/>
    <w:rsid w:val="44352E99"/>
    <w:rsid w:val="448E28BE"/>
    <w:rsid w:val="453716C0"/>
    <w:rsid w:val="45914713"/>
    <w:rsid w:val="4670316E"/>
    <w:rsid w:val="46FC4B66"/>
    <w:rsid w:val="47124EF2"/>
    <w:rsid w:val="47421B61"/>
    <w:rsid w:val="47481C65"/>
    <w:rsid w:val="478C44AF"/>
    <w:rsid w:val="479B00F5"/>
    <w:rsid w:val="47C85858"/>
    <w:rsid w:val="47D93B88"/>
    <w:rsid w:val="49B33B03"/>
    <w:rsid w:val="4A647FF2"/>
    <w:rsid w:val="4A830AC5"/>
    <w:rsid w:val="4C4F6AC2"/>
    <w:rsid w:val="4D68038A"/>
    <w:rsid w:val="4D7F735C"/>
    <w:rsid w:val="4DC51F87"/>
    <w:rsid w:val="4EBD565D"/>
    <w:rsid w:val="4F3972CB"/>
    <w:rsid w:val="4FE94B38"/>
    <w:rsid w:val="4FF0324F"/>
    <w:rsid w:val="4FFC0D0F"/>
    <w:rsid w:val="500F2621"/>
    <w:rsid w:val="50154C45"/>
    <w:rsid w:val="50377F99"/>
    <w:rsid w:val="505B3C87"/>
    <w:rsid w:val="50B96C00"/>
    <w:rsid w:val="512A5B18"/>
    <w:rsid w:val="516E1798"/>
    <w:rsid w:val="52963C65"/>
    <w:rsid w:val="530E4AC4"/>
    <w:rsid w:val="53861634"/>
    <w:rsid w:val="53966D85"/>
    <w:rsid w:val="54290122"/>
    <w:rsid w:val="542D0BF9"/>
    <w:rsid w:val="54327F61"/>
    <w:rsid w:val="56460F02"/>
    <w:rsid w:val="56542BED"/>
    <w:rsid w:val="567F4699"/>
    <w:rsid w:val="56910EF7"/>
    <w:rsid w:val="577E1B28"/>
    <w:rsid w:val="57D12048"/>
    <w:rsid w:val="58092875"/>
    <w:rsid w:val="583F5B32"/>
    <w:rsid w:val="587753D7"/>
    <w:rsid w:val="591B3840"/>
    <w:rsid w:val="5936505F"/>
    <w:rsid w:val="59535F02"/>
    <w:rsid w:val="596F610E"/>
    <w:rsid w:val="5D186A5C"/>
    <w:rsid w:val="5EA12B9A"/>
    <w:rsid w:val="5EC61592"/>
    <w:rsid w:val="6024544B"/>
    <w:rsid w:val="60766BA9"/>
    <w:rsid w:val="60FD418F"/>
    <w:rsid w:val="616930CE"/>
    <w:rsid w:val="61694DA6"/>
    <w:rsid w:val="61D90FCD"/>
    <w:rsid w:val="625C4267"/>
    <w:rsid w:val="62701F28"/>
    <w:rsid w:val="62F41C7A"/>
    <w:rsid w:val="6374344C"/>
    <w:rsid w:val="63B65B26"/>
    <w:rsid w:val="64542FE8"/>
    <w:rsid w:val="65540141"/>
    <w:rsid w:val="657809E0"/>
    <w:rsid w:val="661D61B9"/>
    <w:rsid w:val="68D47E36"/>
    <w:rsid w:val="69090A9E"/>
    <w:rsid w:val="6A2B4273"/>
    <w:rsid w:val="6BFB6754"/>
    <w:rsid w:val="6CD06EDE"/>
    <w:rsid w:val="6CE54BAD"/>
    <w:rsid w:val="6DCC1B4E"/>
    <w:rsid w:val="6E6300FF"/>
    <w:rsid w:val="6E856E85"/>
    <w:rsid w:val="6F457218"/>
    <w:rsid w:val="6F486209"/>
    <w:rsid w:val="6F645AC0"/>
    <w:rsid w:val="704C72E2"/>
    <w:rsid w:val="70563953"/>
    <w:rsid w:val="70EE19A4"/>
    <w:rsid w:val="714A76D4"/>
    <w:rsid w:val="71702D3C"/>
    <w:rsid w:val="71E35433"/>
    <w:rsid w:val="71FE51BE"/>
    <w:rsid w:val="72786FBF"/>
    <w:rsid w:val="72DB435C"/>
    <w:rsid w:val="72EA1F3A"/>
    <w:rsid w:val="735760D9"/>
    <w:rsid w:val="73A1682D"/>
    <w:rsid w:val="73E14564"/>
    <w:rsid w:val="74285A1A"/>
    <w:rsid w:val="74370371"/>
    <w:rsid w:val="74DB24E3"/>
    <w:rsid w:val="74DC0BDB"/>
    <w:rsid w:val="74FF6217"/>
    <w:rsid w:val="753A7A60"/>
    <w:rsid w:val="75CD1CA7"/>
    <w:rsid w:val="75FF5579"/>
    <w:rsid w:val="7826709D"/>
    <w:rsid w:val="79314CD6"/>
    <w:rsid w:val="7A3B334A"/>
    <w:rsid w:val="7BF1538F"/>
    <w:rsid w:val="7C0E57A2"/>
    <w:rsid w:val="7C4F6B44"/>
    <w:rsid w:val="7F1F4828"/>
    <w:rsid w:val="7F363CB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link w:val="2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w:basedOn w:val="1"/>
    <w:link w:val="22"/>
    <w:unhideWhenUsed/>
    <w:qFormat/>
    <w:uiPriority w:val="99"/>
    <w:pPr>
      <w:spacing w:line="420" w:lineRule="exact"/>
    </w:pPr>
    <w:rPr>
      <w:sz w:val="24"/>
    </w:rPr>
  </w:style>
  <w:style w:type="paragraph" w:styleId="6">
    <w:name w:val="Plain Text"/>
    <w:basedOn w:val="1"/>
    <w:link w:val="23"/>
    <w:qFormat/>
    <w:uiPriority w:val="0"/>
    <w:rPr>
      <w:rFonts w:ascii="宋体" w:hAnsi="Courier New"/>
    </w:rPr>
  </w:style>
  <w:style w:type="paragraph" w:styleId="7">
    <w:name w:val="Balloon Text"/>
    <w:basedOn w:val="1"/>
    <w:link w:val="17"/>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Title"/>
    <w:basedOn w:val="1"/>
    <w:link w:val="24"/>
    <w:qFormat/>
    <w:uiPriority w:val="0"/>
    <w:pPr>
      <w:widowControl/>
      <w:jc w:val="center"/>
    </w:pPr>
    <w:rPr>
      <w:rFonts w:ascii="Book Antiqua" w:hAnsi="Book Antiqua"/>
      <w:b/>
      <w:kern w:val="0"/>
      <w:sz w:val="31"/>
      <w:szCs w:val="31"/>
      <w:u w:val="single"/>
      <w:lang w:eastAsia="en-US"/>
    </w:rPr>
  </w:style>
  <w:style w:type="paragraph" w:styleId="11">
    <w:name w:val="Body Text First Indent"/>
    <w:basedOn w:val="5"/>
    <w:qFormat/>
    <w:uiPriority w:val="0"/>
    <w:pPr>
      <w:ind w:firstLine="420" w:firstLineChars="100"/>
    </w:pPr>
    <w:rPr>
      <w:szCs w:val="20"/>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页眉 Char"/>
    <w:basedOn w:val="14"/>
    <w:link w:val="9"/>
    <w:qFormat/>
    <w:uiPriority w:val="0"/>
    <w:rPr>
      <w:rFonts w:ascii="Times New Roman" w:hAnsi="Times New Roman" w:eastAsia="宋体" w:cs="Times New Roman"/>
      <w:sz w:val="18"/>
      <w:szCs w:val="18"/>
    </w:rPr>
  </w:style>
  <w:style w:type="character" w:customStyle="1" w:styleId="16">
    <w:name w:val="页脚 Char"/>
    <w:basedOn w:val="14"/>
    <w:link w:val="8"/>
    <w:qFormat/>
    <w:uiPriority w:val="99"/>
    <w:rPr>
      <w:rFonts w:ascii="Times New Roman" w:hAnsi="Times New Roman" w:eastAsia="宋体" w:cs="Times New Roman"/>
      <w:sz w:val="18"/>
      <w:szCs w:val="18"/>
    </w:rPr>
  </w:style>
  <w:style w:type="character" w:customStyle="1" w:styleId="17">
    <w:name w:val="批注框文本 Char"/>
    <w:basedOn w:val="14"/>
    <w:link w:val="7"/>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character" w:customStyle="1" w:styleId="19">
    <w:name w:val="fontstyle01"/>
    <w:basedOn w:val="14"/>
    <w:qFormat/>
    <w:uiPriority w:val="0"/>
    <w:rPr>
      <w:rFonts w:hint="eastAsia" w:ascii="宋体" w:hAnsi="宋体" w:eastAsia="宋体"/>
      <w:color w:val="000000"/>
      <w:sz w:val="24"/>
      <w:szCs w:val="24"/>
    </w:rPr>
  </w:style>
  <w:style w:type="character" w:customStyle="1" w:styleId="20">
    <w:name w:val="fontstyle21"/>
    <w:basedOn w:val="14"/>
    <w:qFormat/>
    <w:uiPriority w:val="0"/>
    <w:rPr>
      <w:rFonts w:hint="default" w:ascii="Times New Roman" w:hAnsi="Times New Roman" w:cs="Times New Roman"/>
      <w:color w:val="000000"/>
      <w:sz w:val="24"/>
      <w:szCs w:val="24"/>
    </w:rPr>
  </w:style>
  <w:style w:type="character" w:customStyle="1" w:styleId="21">
    <w:name w:val="标题 2 Char"/>
    <w:basedOn w:val="14"/>
    <w:link w:val="3"/>
    <w:qFormat/>
    <w:uiPriority w:val="9"/>
    <w:rPr>
      <w:rFonts w:asciiTheme="majorHAnsi" w:hAnsiTheme="majorHAnsi" w:eastAsiaTheme="majorEastAsia" w:cstheme="majorBidi"/>
      <w:b/>
      <w:bCs/>
      <w:kern w:val="2"/>
      <w:sz w:val="32"/>
      <w:szCs w:val="32"/>
    </w:rPr>
  </w:style>
  <w:style w:type="character" w:customStyle="1" w:styleId="22">
    <w:name w:val="正文文本 Char"/>
    <w:basedOn w:val="14"/>
    <w:link w:val="5"/>
    <w:qFormat/>
    <w:uiPriority w:val="99"/>
    <w:rPr>
      <w:rFonts w:ascii="Times New Roman" w:hAnsi="Times New Roman" w:eastAsia="宋体" w:cs="Times New Roman"/>
      <w:kern w:val="2"/>
      <w:sz w:val="24"/>
    </w:rPr>
  </w:style>
  <w:style w:type="character" w:customStyle="1" w:styleId="23">
    <w:name w:val="纯文本 Char"/>
    <w:basedOn w:val="14"/>
    <w:link w:val="6"/>
    <w:qFormat/>
    <w:uiPriority w:val="0"/>
    <w:rPr>
      <w:rFonts w:ascii="宋体" w:hAnsi="Courier New" w:eastAsia="宋体" w:cs="Times New Roman"/>
      <w:kern w:val="2"/>
      <w:sz w:val="21"/>
    </w:rPr>
  </w:style>
  <w:style w:type="character" w:customStyle="1" w:styleId="24">
    <w:name w:val="标题 Char"/>
    <w:basedOn w:val="14"/>
    <w:link w:val="10"/>
    <w:qFormat/>
    <w:uiPriority w:val="0"/>
    <w:rPr>
      <w:rFonts w:ascii="Book Antiqua" w:hAnsi="Book Antiqua" w:eastAsia="宋体" w:cs="Times New Roman"/>
      <w:b/>
      <w:sz w:val="31"/>
      <w:szCs w:val="31"/>
      <w:u w:val="single"/>
      <w:lang w:eastAsia="en-US"/>
    </w:rPr>
  </w:style>
  <w:style w:type="paragraph" w:styleId="2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629</Words>
  <Characters>3590</Characters>
  <Lines>29</Lines>
  <Paragraphs>8</Paragraphs>
  <TotalTime>39</TotalTime>
  <ScaleCrop>false</ScaleCrop>
  <LinksUpToDate>false</LinksUpToDate>
  <CharactersWithSpaces>4211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春华秋实</cp:lastModifiedBy>
  <dcterms:modified xsi:type="dcterms:W3CDTF">2023-01-18T11:43:33Z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3BD88B1E9999457E9EAC17361FC70952</vt:lpwstr>
  </property>
</Properties>
</file>