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浙江华奥船艇科技股份有限公司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沃晓军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林兵，</w:t>
            </w:r>
            <w:r>
              <w:rPr>
                <w:rFonts w:hint="eastAsia"/>
                <w:color w:val="000000"/>
                <w:sz w:val="24"/>
                <w:szCs w:val="24"/>
              </w:rPr>
              <w:t>卢晶，蒋程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审核时间：</w:t>
            </w:r>
            <w:bookmarkStart w:id="2" w:name="审核日期"/>
            <w:r>
              <w:rPr>
                <w:color w:val="000000"/>
              </w:rPr>
              <w:t>2022年09月26日 上午至2022年09月26日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91330100MA27YP2H2C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2016年9月27日至长期；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申请的认证范围在营业范围内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Q：认可：体育用品器材（水上装备、水上专业赛道）销售</w:t>
            </w:r>
          </w:p>
          <w:p>
            <w:r>
              <w:t>未认可：资质许可范围内的无动力皮划艇、赛艇、龙舟的生产</w:t>
            </w:r>
          </w:p>
          <w:p>
            <w:pPr>
              <w:spacing w:line="240" w:lineRule="auto"/>
            </w:pPr>
            <w:r>
              <w:t>E：认可：体育用品器材（水上装备、水上专业赛道）销售所涉及场所的相关环境管理活动</w:t>
            </w:r>
          </w:p>
          <w:p>
            <w:pPr>
              <w:spacing w:line="240" w:lineRule="auto"/>
            </w:pPr>
            <w:r>
              <w:t>未认可：资质许可范围内的无动力皮划艇、赛艇、龙舟的生产所涉及场所的相关环境管理活动</w:t>
            </w:r>
          </w:p>
          <w:p>
            <w:pPr>
              <w:spacing w:line="240" w:lineRule="auto"/>
            </w:pPr>
            <w:r>
              <w:t>O：认可：体育用品器材（水上装备、水上专业赛道）销售所涉及场所的相关职业健康安全管理活动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t>未认可：资质许可范围内的无动力皮划艇、赛艇、龙舟的生产所涉及场所的相关职业健康安全管理活动</w:t>
            </w:r>
            <w:bookmarkEnd w:id="3"/>
            <w:r>
              <w:rPr>
                <w:rFonts w:hint="eastAsia"/>
              </w:rPr>
              <w:t>；</w:t>
            </w:r>
          </w:p>
          <w:p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/>
              </w:rPr>
              <w:t>浙江华奥船艇科技股份有限公司</w:t>
            </w:r>
            <w:r>
              <w:rPr>
                <w:rFonts w:hint="eastAsia"/>
                <w:lang w:val="en-US" w:eastAsia="zh-CN"/>
              </w:rPr>
              <w:t>与杭州良金船艇有限公司的厂房和设备租赁协议，所用的环境影响评价与排污许可证，使用杭州良金船艇有限公司的资质。提供杭州良金船艇有限公司的《</w:t>
            </w:r>
            <w:r>
              <w:rPr>
                <w:lang w:val="en-US" w:eastAsia="zh-CN"/>
              </w:rPr>
              <w:t>固定污染源排污登记表</w:t>
            </w:r>
            <w:r>
              <w:rPr>
                <w:rFonts w:hint="eastAsia"/>
                <w:lang w:val="en-US" w:eastAsia="zh-CN"/>
              </w:rPr>
              <w:t>》。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行业无所需要的生产许可证要求。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浙江省杭州市富阳区鹿山街道金鹿路269号鹿山时代城2号609室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杭州市富阳区春建乡工业功能区5号</w:t>
            </w:r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shape id="自选图形 105" o:spid="_x0000_s1028" o:spt="32" type="#_x0000_t32" style="position:absolute;left:0pt;margin-left:137.5pt;margin-top:23.05pt;height:0pt;width:30pt;z-index:25166131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/>
                <w:b/>
                <w:sz w:val="20"/>
              </w:rPr>
              <w:t>开模 → 模具清理→打蜡水→喷底层胶衣→铺糊→抽真空→固化→粘合→检验→打磨油漆→喷漆→手工刮灰→打磨→喷漆→打磨→涂漆→表面检查→配件安装→张贴标识→成品检测→包装→出厂→</w:t>
            </w:r>
            <w:r>
              <w:rPr>
                <w:rFonts w:hint="eastAsia"/>
                <w:b/>
                <w:sz w:val="20"/>
                <w:lang w:val="en-US" w:eastAsia="zh-CN"/>
              </w:rPr>
              <w:t>销售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spacing w:line="24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质量方针：做好产品、做大产业、强化服务、保质保量。环境和职业健康安全方针：保障安全  预防污染  遵守法规  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产品一次交验合格率≥95%</w:t>
                  </w: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</w:rPr>
                    <w:t>全年保持</w:t>
                  </w:r>
                </w:p>
              </w:tc>
              <w:tc>
                <w:tcPr>
                  <w:tcW w:w="3499" w:type="dxa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合格批次/总批次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×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9.4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顾客满意率≥95%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每年调查一次</w:t>
                  </w:r>
                </w:p>
              </w:tc>
              <w:tc>
                <w:tcPr>
                  <w:tcW w:w="3499" w:type="dxa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满意分数总和/总设计分数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×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5.57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18"/>
                      <w:szCs w:val="18"/>
                    </w:rPr>
                    <w:t>各类废弃物按规定处置率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</w:rPr>
                    <w:t>全年保持</w:t>
                  </w:r>
                </w:p>
              </w:tc>
              <w:tc>
                <w:tcPr>
                  <w:tcW w:w="3499" w:type="dxa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处置数量/应处置总数量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×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18"/>
                      <w:szCs w:val="18"/>
                    </w:rPr>
                    <w:t>职业病发生率0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18"/>
                      <w:szCs w:val="18"/>
                    </w:rPr>
                    <w:t>全年保持</w:t>
                  </w:r>
                </w:p>
              </w:tc>
              <w:tc>
                <w:tcPr>
                  <w:tcW w:w="3499" w:type="dxa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  <w:t>实数记录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10~11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胶合固化、喷漆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胶合固化时间：6h,80±5℃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喷漆晾干时间：35~40℃；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胶合固化、喷漆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</w:rPr>
            </w:pPr>
            <w:bookmarkStart w:id="6" w:name="_GoBack"/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val="en-US" w:eastAsia="zh-CN"/>
              </w:rPr>
              <w:t>杭州市中认检验技术有限公司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>CIC190626018-ZJ,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2019年7月25日；</w:t>
            </w: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lang w:val="en-US" w:eastAsia="zh-CN"/>
              </w:rPr>
              <w:t>GB/T 13412-92</w:t>
            </w:r>
            <w:bookmarkEnd w:id="6"/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胶合固化线、喷漆线、装配线、机加工设备（车床、切割机等）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磅秤、直尺、水平尺、百分表、角度仪等；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浙江华奥租用杭州良金；杭州良金有多余产能租用于浙江华奥生产；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赛艇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条、皮艇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条、划艇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条、水球皮艇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条、摩托艇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条、龙舟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赛艇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200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条、皮艇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300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条、划艇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300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条、水球皮艇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50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条、摩托艇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50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条、龙舟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000000"/>
                <w:szCs w:val="18"/>
                <w:u w:val="single"/>
                <w:lang w:val="en-US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91330183609139336X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固定污染源排污登记表），无时间要求。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自主验收。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drawing>
                <wp:inline distT="0" distB="0" distL="114300" distR="114300">
                  <wp:extent cx="2087880" cy="190500"/>
                  <wp:effectExtent l="0" t="0" r="0" b="7620"/>
                  <wp:docPr id="1" name="图片 1" descr="微信截图_20220926165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209261650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健康安全</w:t>
            </w:r>
            <w:r>
              <w:rPr>
                <w:rFonts w:hint="eastAsia"/>
                <w:color w:val="000000"/>
                <w:szCs w:val="18"/>
              </w:rPr>
              <w:t>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HRAZJP-2021741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职检字第（2022-568）号，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□高低温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052971A9"/>
    <w:rsid w:val="086230FE"/>
    <w:rsid w:val="09DD4435"/>
    <w:rsid w:val="21C86A9F"/>
    <w:rsid w:val="24DB6CF7"/>
    <w:rsid w:val="2E697052"/>
    <w:rsid w:val="30DF4A05"/>
    <w:rsid w:val="3FC27A03"/>
    <w:rsid w:val="551C6112"/>
    <w:rsid w:val="570C5343"/>
    <w:rsid w:val="6C061E6B"/>
    <w:rsid w:val="7BC07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0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25</TotalTime>
  <ScaleCrop>false</ScaleCrop>
  <LinksUpToDate>false</LinksUpToDate>
  <CharactersWithSpaces>13072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2022-09-28T07:54:58Z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