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0563-2020-Q-2022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四川瑞诚润信会计师事务所有限公司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四川瑞诚润信会计师事务所有限公司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成都市锦江区一环路东四段8号510室</w:t>
            </w:r>
            <w:bookmarkEnd w:id="6"/>
          </w:p>
        </w:tc>
        <w:tc>
          <w:tcPr>
            <w:tcW w:w="1242" w:type="dxa"/>
            <w:vMerge w:val="restart"/>
            <w:vAlign w:val="center"/>
          </w:tcPr>
          <w:p>
            <w:r>
              <w:rPr>
                <w:rFonts w:hint="eastAsia"/>
              </w:rPr>
              <w:t>邮编</w:t>
            </w:r>
          </w:p>
        </w:tc>
        <w:tc>
          <w:tcPr>
            <w:tcW w:w="1771" w:type="dxa"/>
          </w:tcPr>
          <w:p>
            <w:bookmarkStart w:id="7" w:name="注册邮编"/>
            <w:r>
              <w:t>610011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成都市金牛区一环路北99号环球广场507室</w:t>
            </w:r>
            <w:bookmarkEnd w:id="8"/>
          </w:p>
        </w:tc>
        <w:tc>
          <w:tcPr>
            <w:tcW w:w="1242" w:type="dxa"/>
            <w:vMerge w:val="continue"/>
            <w:vAlign w:val="center"/>
          </w:tcPr>
          <w:p/>
        </w:tc>
        <w:tc>
          <w:tcPr>
            <w:tcW w:w="1771" w:type="dxa"/>
          </w:tcPr>
          <w:p>
            <w:bookmarkStart w:id="9" w:name="办公邮编"/>
            <w:r>
              <w:t>610036</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王欢</w:t>
            </w:r>
            <w:bookmarkEnd w:id="10"/>
          </w:p>
        </w:tc>
        <w:tc>
          <w:tcPr>
            <w:tcW w:w="1313" w:type="dxa"/>
            <w:vAlign w:val="center"/>
          </w:tcPr>
          <w:p>
            <w:r>
              <w:rPr>
                <w:rFonts w:hint="eastAsia"/>
              </w:rPr>
              <w:t>电话.</w:t>
            </w:r>
          </w:p>
        </w:tc>
        <w:tc>
          <w:tcPr>
            <w:tcW w:w="2180" w:type="dxa"/>
            <w:vAlign w:val="center"/>
          </w:tcPr>
          <w:p>
            <w:bookmarkStart w:id="11" w:name="联系人电话"/>
            <w:r>
              <w:t>028-86622569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范贵英</w:t>
            </w:r>
            <w:bookmarkEnd w:id="13"/>
          </w:p>
        </w:tc>
        <w:tc>
          <w:tcPr>
            <w:tcW w:w="1313" w:type="dxa"/>
            <w:vAlign w:val="center"/>
          </w:tcPr>
          <w:p>
            <w:r>
              <w:rPr>
                <w:rFonts w:hint="eastAsia"/>
              </w:rPr>
              <w:t>管理者代表</w:t>
            </w:r>
          </w:p>
        </w:tc>
        <w:tc>
          <w:tcPr>
            <w:tcW w:w="2180" w:type="dxa"/>
          </w:tcPr>
          <w:p>
            <w:bookmarkStart w:id="14" w:name="管理者代表"/>
            <w:r>
              <w:t>王欢</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pStyle w:val="2"/>
              <w:ind w:left="0" w:leftChars="0" w:firstLine="0" w:firstLineChars="0"/>
              <w:jc w:val="left"/>
              <w:rPr>
                <w:rFonts w:hint="eastAsia" w:ascii="Times New Roman" w:hAnsi="Times New Roman" w:eastAsia="宋体" w:cs="Times New Roman"/>
                <w:b/>
                <w:kern w:val="2"/>
                <w:sz w:val="20"/>
                <w:szCs w:val="20"/>
                <w:lang w:val="en-US" w:eastAsia="zh-CN" w:bidi="ar-SA"/>
              </w:rPr>
            </w:pPr>
            <w:r>
              <w:rPr>
                <w:rFonts w:hint="eastAsia" w:ascii="Times New Roman" w:hAnsi="Times New Roman" w:eastAsia="宋体" w:cs="Times New Roman"/>
                <w:b/>
                <w:kern w:val="2"/>
                <w:sz w:val="20"/>
                <w:szCs w:val="20"/>
                <w:lang w:val="en-US" w:eastAsia="zh-CN" w:bidi="ar-SA"/>
              </w:rPr>
              <w:t>财务审计（会计报表、经济责任、财务收支、专项资金、验资、清算、基本建设年度决算）：业务承接---前期准备---审前见面会---执行现场审计程序---整理底稿形成初稿---三级复核---征求客户意见---出具正式报告及底稿归档</w:t>
            </w:r>
          </w:p>
          <w:p>
            <w:pPr>
              <w:pStyle w:val="2"/>
              <w:ind w:left="0" w:leftChars="0" w:firstLine="0" w:firstLineChars="0"/>
              <w:jc w:val="left"/>
              <w:rPr>
                <w:rFonts w:hint="eastAsia" w:ascii="Times New Roman" w:hAnsi="Times New Roman" w:eastAsia="宋体" w:cs="Times New Roman"/>
                <w:b/>
                <w:kern w:val="2"/>
                <w:sz w:val="20"/>
                <w:szCs w:val="20"/>
                <w:lang w:val="en-US" w:eastAsia="zh-CN" w:bidi="ar-SA"/>
              </w:rPr>
            </w:pPr>
            <w:r>
              <w:rPr>
                <w:rFonts w:hint="eastAsia" w:ascii="Times New Roman" w:hAnsi="Times New Roman" w:eastAsia="宋体" w:cs="Times New Roman"/>
                <w:b/>
                <w:kern w:val="2"/>
                <w:sz w:val="20"/>
                <w:szCs w:val="20"/>
                <w:lang w:val="en-US" w:eastAsia="zh-CN" w:bidi="ar-SA"/>
              </w:rPr>
              <w:t>代理记账：签订合同---具体了解客户业务---选择适用的会计制度---建立账套---审核原始凭证、税务申报---编制会计凭证---所内复核---装订记账凭证---完结后移交客户财务、税务资料</w:t>
            </w:r>
          </w:p>
          <w:p>
            <w:pPr>
              <w:pStyle w:val="2"/>
              <w:ind w:left="0" w:leftChars="0" w:firstLine="0" w:firstLineChars="0"/>
              <w:jc w:val="left"/>
              <w:rPr>
                <w:rFonts w:hint="eastAsia" w:ascii="Times New Roman" w:hAnsi="Times New Roman" w:eastAsia="宋体" w:cs="Times New Roman"/>
                <w:b/>
                <w:kern w:val="2"/>
                <w:sz w:val="20"/>
                <w:szCs w:val="20"/>
                <w:lang w:val="en-US" w:eastAsia="zh-CN" w:bidi="ar-SA"/>
              </w:rPr>
            </w:pPr>
            <w:r>
              <w:rPr>
                <w:rFonts w:hint="eastAsia" w:ascii="Times New Roman" w:hAnsi="Times New Roman" w:eastAsia="宋体" w:cs="Times New Roman"/>
                <w:b/>
                <w:kern w:val="2"/>
                <w:sz w:val="20"/>
                <w:szCs w:val="20"/>
                <w:lang w:val="en-US" w:eastAsia="zh-CN" w:bidi="ar-SA"/>
              </w:rPr>
              <w:t>管理咨询（会计咨询、税务咨询）：签订合同---具体了解客户业务---客户提出需求---结合相关法律法规解答</w:t>
            </w:r>
          </w:p>
          <w:p>
            <w:pPr>
              <w:pStyle w:val="2"/>
              <w:ind w:left="0" w:leftChars="0" w:firstLine="0" w:firstLineChars="0"/>
              <w:jc w:val="left"/>
              <w:rPr>
                <w:rFonts w:hint="eastAsia" w:ascii="Times New Roman" w:hAnsi="Times New Roman" w:eastAsia="宋体" w:cs="Times New Roman"/>
                <w:b/>
                <w:kern w:val="2"/>
                <w:sz w:val="20"/>
                <w:szCs w:val="20"/>
                <w:lang w:val="en-US" w:eastAsia="zh-CN" w:bidi="ar-SA"/>
              </w:rPr>
            </w:pPr>
            <w:r>
              <w:rPr>
                <w:rFonts w:hint="eastAsia" w:ascii="Times New Roman" w:hAnsi="Times New Roman" w:eastAsia="宋体" w:cs="Times New Roman"/>
                <w:b/>
                <w:kern w:val="2"/>
                <w:sz w:val="20"/>
                <w:szCs w:val="20"/>
                <w:lang w:val="en-US" w:eastAsia="zh-CN" w:bidi="ar-SA"/>
              </w:rPr>
              <w:t>绩效评价：业务承接---前期准备---与项目实施单位就评价项目沟通---评价项目实施资料---设置项目个性指标和调查问卷---征求意见---指标体系评分、问卷调查---整理底稿形成初稿---三级复核---征求意见---出具正式报告及底稿归档</w:t>
            </w:r>
          </w:p>
          <w:p>
            <w:r>
              <w:rPr>
                <w:rFonts w:hint="eastAsia" w:ascii="Times New Roman" w:hAnsi="Times New Roman" w:eastAsia="宋体" w:cs="Times New Roman"/>
                <w:b/>
                <w:kern w:val="2"/>
                <w:sz w:val="20"/>
                <w:szCs w:val="20"/>
                <w:lang w:val="en-US" w:eastAsia="zh-CN" w:bidi="ar-SA"/>
              </w:rPr>
              <w:t>会计培训：了解客户需求--制定培训大纲--与客户确认培训具体内容--编制培训课件--所内复核--客户确认--敲定培训时间--开展现场培训 </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2022年09月28日 上午至2022年09月28日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成都市金牛区一环路北99号环球广场507室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财务审计（会计报表、经济责任、财务收支、专项资金、验资、清算、基本建设年度决算）、会计咨询、管理咨询、税务咨询、会计培训、绩效评价、代理记账。</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35.02.00;35.04.02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lang w:eastAsia="zh-CN"/>
              </w:rPr>
              <w:t>☑</w:t>
            </w:r>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06</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lang w:val="de-DE" w:eastAsia="ja-JP"/>
              </w:rPr>
            </w:pPr>
            <w:r>
              <w:rPr>
                <w:rFonts w:asciiTheme="minorEastAsia" w:hAnsiTheme="minorEastAsia" w:eastAsiaTheme="minorEastAsia"/>
                <w:sz w:val="20"/>
              </w:rPr>
              <w:t>成都市锦江区一环路东四段8号510室</w:t>
            </w:r>
          </w:p>
        </w:tc>
        <w:tc>
          <w:tcPr>
            <w:tcW w:w="2267" w:type="dxa"/>
            <w:vAlign w:val="top"/>
          </w:tcPr>
          <w:p>
            <w:pPr>
              <w:rPr>
                <w:lang w:val="de-DE" w:eastAsia="ja-JP"/>
              </w:rPr>
            </w:pPr>
            <w:r>
              <w:rPr>
                <w:rFonts w:hint="eastAsia" w:asciiTheme="minorEastAsia" w:hAnsiTheme="minorEastAsia" w:eastAsiaTheme="minorEastAsia"/>
                <w:sz w:val="20"/>
                <w:lang w:val="en-US" w:eastAsia="zh-CN"/>
              </w:rPr>
              <w:t>经营地址：</w:t>
            </w:r>
            <w:r>
              <w:rPr>
                <w:rFonts w:asciiTheme="minorEastAsia" w:hAnsiTheme="minorEastAsia" w:eastAsiaTheme="minorEastAsia"/>
                <w:sz w:val="20"/>
              </w:rPr>
              <w:t>成都市金牛区一环路北99号环球广场507室</w:t>
            </w:r>
            <w:r>
              <w:rPr>
                <w:rFonts w:hint="eastAsia" w:asciiTheme="minorEastAsia" w:hAnsiTheme="minorEastAsia" w:eastAsiaTheme="minorEastAsia"/>
                <w:sz w:val="20"/>
                <w:lang w:eastAsia="zh-CN"/>
              </w:rPr>
              <w:t>（</w:t>
            </w:r>
            <w:r>
              <w:rPr>
                <w:rFonts w:hint="eastAsia" w:asciiTheme="minorEastAsia" w:hAnsiTheme="minorEastAsia" w:eastAsiaTheme="minorEastAsia"/>
                <w:sz w:val="20"/>
                <w:lang w:val="en-US" w:eastAsia="zh-CN"/>
              </w:rPr>
              <w:t>临时多场所：</w:t>
            </w:r>
            <w:r>
              <w:rPr>
                <w:rFonts w:hint="eastAsia"/>
                <w:color w:val="000000"/>
              </w:rPr>
              <w:t>成都</w:t>
            </w:r>
            <w:r>
              <w:rPr>
                <w:rFonts w:hint="eastAsia"/>
                <w:color w:val="000000"/>
                <w:lang w:val="en-US" w:eastAsia="zh-CN"/>
              </w:rPr>
              <w:t>市高新区市场监督管理局</w:t>
            </w:r>
            <w:r>
              <w:rPr>
                <w:rFonts w:hint="eastAsia" w:asciiTheme="minorEastAsia" w:hAnsiTheme="minorEastAsia" w:eastAsiaTheme="minorEastAsia"/>
                <w:sz w:val="20"/>
                <w:lang w:eastAsia="zh-CN"/>
              </w:rPr>
              <w:t>）</w:t>
            </w:r>
          </w:p>
        </w:tc>
        <w:tc>
          <w:tcPr>
            <w:tcW w:w="571" w:type="dxa"/>
            <w:vAlign w:val="center"/>
          </w:tcPr>
          <w:p>
            <w:pPr>
              <w:rPr>
                <w:lang w:eastAsia="ja-JP"/>
              </w:rPr>
            </w:pPr>
            <w:r>
              <w:rPr>
                <w:rFonts w:hint="eastAsia"/>
                <w:lang w:val="en-US" w:eastAsia="zh-CN"/>
              </w:rPr>
              <w:t>31</w:t>
            </w:r>
          </w:p>
        </w:tc>
        <w:tc>
          <w:tcPr>
            <w:tcW w:w="2803" w:type="dxa"/>
            <w:vAlign w:val="center"/>
          </w:tcPr>
          <w:p>
            <w:pPr>
              <w:rPr>
                <w:lang w:eastAsia="ja-JP"/>
              </w:rPr>
            </w:pPr>
            <w:r>
              <w:rPr>
                <w:sz w:val="20"/>
              </w:rPr>
              <w:t>财务审计（会计报表、经济责任、财务收支、专项资金、验资、清算、基本建设年度决算）、会计咨询、管理咨询、税务咨询、会计培训、绩效评价、代理记账。</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组长</w:t>
            </w:r>
          </w:p>
        </w:tc>
        <w:tc>
          <w:tcPr>
            <w:tcW w:w="711" w:type="dxa"/>
            <w:vAlign w:val="center"/>
          </w:tcPr>
          <w:p>
            <w:r>
              <w:t>男</w:t>
            </w:r>
          </w:p>
        </w:tc>
        <w:tc>
          <w:tcPr>
            <w:tcW w:w="3870" w:type="dxa"/>
            <w:vAlign w:val="center"/>
          </w:tcPr>
          <w:p>
            <w:r>
              <w:t>2020-N1QMS-1247783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王泽英</w:t>
            </w:r>
          </w:p>
        </w:tc>
        <w:tc>
          <w:tcPr>
            <w:tcW w:w="1089" w:type="dxa"/>
            <w:vAlign w:val="center"/>
          </w:tcPr>
          <w:p>
            <w:r>
              <w:t>组员</w:t>
            </w:r>
          </w:p>
        </w:tc>
        <w:tc>
          <w:tcPr>
            <w:tcW w:w="711" w:type="dxa"/>
            <w:vAlign w:val="center"/>
          </w:tcPr>
          <w:p>
            <w:r>
              <w:t>女</w:t>
            </w:r>
          </w:p>
        </w:tc>
        <w:tc>
          <w:tcPr>
            <w:tcW w:w="3870" w:type="dxa"/>
            <w:vAlign w:val="center"/>
          </w:tcPr>
          <w:p>
            <w:r>
              <w:t>ISC-JSZJ-180</w:t>
            </w:r>
          </w:p>
          <w:p>
            <w:r>
              <w:t>四川瑞鼎新材料科技股份有限公司</w:t>
            </w:r>
          </w:p>
        </w:tc>
        <w:tc>
          <w:tcPr>
            <w:tcW w:w="2179" w:type="dxa"/>
            <w:vAlign w:val="center"/>
          </w:tcPr>
          <w:p>
            <w:r>
              <w:t>35.02.00,35.04.02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jc w:val="cente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2464" w:type="dxa"/>
            <w:vAlign w:val="center"/>
          </w:tcPr>
          <w:p>
            <w:r>
              <w:rPr>
                <w:rFonts w:hint="eastAsia"/>
              </w:rPr>
              <w:t>体系员工人数较大变更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pPr>
              <w:jc w:val="cente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p>
        </w:tc>
        <w:tc>
          <w:tcPr>
            <w:tcW w:w="1717" w:type="dxa"/>
          </w:tcPr>
          <w:p/>
        </w:tc>
        <w:tc>
          <w:tcPr>
            <w:tcW w:w="1560" w:type="dxa"/>
          </w:tcPr>
          <w:p>
            <w:pPr>
              <w:rPr>
                <w:rFonts w:hint="eastAsia" w:eastAsia="宋体"/>
                <w:lang w:val="en-US" w:eastAsia="zh-CN"/>
              </w:rPr>
            </w:pP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5" w:hRule="exact"/>
          <w:jc w:val="center"/>
        </w:trPr>
        <w:tc>
          <w:tcPr>
            <w:tcW w:w="1842" w:type="dxa"/>
          </w:tcPr>
          <w:p>
            <w:pPr>
              <w:rPr>
                <w:rFonts w:hint="eastAsia"/>
              </w:rPr>
            </w:pPr>
          </w:p>
          <w:p>
            <w:r>
              <w:rPr>
                <w:rFonts w:hint="eastAsia"/>
              </w:rPr>
              <w:t>审核组长签字</w:t>
            </w:r>
          </w:p>
        </w:tc>
        <w:tc>
          <w:tcPr>
            <w:tcW w:w="2764" w:type="dxa"/>
            <w:tcMar>
              <w:left w:w="113" w:type="dxa"/>
            </w:tcMar>
          </w:tcPr>
          <w:p>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64135</wp:posOffset>
                  </wp:positionH>
                  <wp:positionV relativeFrom="paragraph">
                    <wp:posOffset>102870</wp:posOffset>
                  </wp:positionV>
                  <wp:extent cx="906780" cy="307975"/>
                  <wp:effectExtent l="0" t="0" r="7620" b="9525"/>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906780" cy="307975"/>
                          </a:xfrm>
                          <a:prstGeom prst="rect">
                            <a:avLst/>
                          </a:prstGeom>
                        </pic:spPr>
                      </pic:pic>
                    </a:graphicData>
                  </a:graphic>
                </wp:anchor>
              </w:drawing>
            </w:r>
          </w:p>
          <w:p/>
        </w:tc>
        <w:tc>
          <w:tcPr>
            <w:tcW w:w="2764" w:type="dxa"/>
            <w:tcMar>
              <w:left w:w="113" w:type="dxa"/>
            </w:tcMar>
          </w:tcPr>
          <w:p>
            <w:pPr>
              <w:rPr>
                <w:rFonts w:hint="eastAsia"/>
              </w:rPr>
            </w:pPr>
          </w:p>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2022年9月28日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文化□知识□绩效□工艺□设备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□新产品设计开发□原材料采购□外部供方控制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建立机制□法规宣传</w:t>
            </w:r>
            <w:r>
              <w:rPr>
                <w:rFonts w:hint="eastAsia"/>
                <w:lang w:eastAsia="zh-CN"/>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lang w:eastAsia="zh-CN"/>
              </w:rPr>
            </w:pPr>
            <w:r>
              <w:rPr>
                <w:rFonts w:hint="eastAsia"/>
              </w:rPr>
              <w:t>最高管理者制定了文件化的管理体系方</w:t>
            </w:r>
            <w:r>
              <w:rPr>
                <w:rFonts w:hint="eastAsia" w:ascii="Times New Roman" w:hAnsi="Times New Roman" w:eastAsia="宋体" w:cs="Times New Roman"/>
              </w:rPr>
              <w:t>针：</w:t>
            </w:r>
            <w:r>
              <w:rPr>
                <w:rFonts w:hint="eastAsia" w:ascii="Times New Roman" w:hAnsi="Times New Roman" w:eastAsia="宋体" w:cs="Times New Roman"/>
                <w:u w:val="single"/>
                <w:lang w:eastAsia="zh-CN"/>
              </w:rPr>
              <w:t>“经营优质服务，提供完善服务，</w:t>
            </w:r>
            <w:r>
              <w:rPr>
                <w:rFonts w:hint="eastAsia" w:ascii="Times New Roman" w:hAnsi="Times New Roman" w:eastAsia="宋体" w:cs="Times New Roman"/>
                <w:u w:val="single"/>
              </w:rPr>
              <w:t>不断持续改进，追求顾客满意</w:t>
            </w:r>
            <w:r>
              <w:rPr>
                <w:rFonts w:hint="eastAsia" w:ascii="Times New Roman" w:hAnsi="Times New Roman" w:eastAsia="宋体" w:cs="Times New Roman"/>
                <w:u w:val="single"/>
                <w:lang w:eastAsia="zh-CN"/>
              </w:rPr>
              <w:t>”</w:t>
            </w:r>
            <w:r>
              <w:rPr>
                <w:rFonts w:hint="eastAsia" w:ascii="Times New Roman" w:hAnsi="Times New Roman" w:eastAsia="宋体" w:cs="Times New Roman"/>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审计部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组织建立了与方针一致的文件化的管理目标。为实现总质量目标而建立的各层级质量目标具体</w:t>
            </w:r>
            <w:r>
              <w:rPr>
                <w:rFonts w:hint="eastAsia"/>
                <w:highlight w:val="none"/>
              </w:rPr>
              <w:t>、有针对性、可测量并且可实现。</w:t>
            </w:r>
          </w:p>
          <w:p>
            <w:pPr>
              <w:shd w:val="clear" w:color="auto" w:fill="C7DAF1" w:themeFill="text2" w:themeFillTint="32"/>
              <w:rPr>
                <w:highlight w:val="none"/>
              </w:rPr>
            </w:pPr>
            <w:r>
              <w:rPr>
                <w:rFonts w:hint="eastAsia"/>
                <w:highlight w:val="none"/>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质量目标</w:t>
                  </w:r>
                </w:p>
              </w:tc>
              <w:tc>
                <w:tcPr>
                  <w:tcW w:w="3136"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计算方法</w:t>
                  </w:r>
                </w:p>
              </w:tc>
              <w:tc>
                <w:tcPr>
                  <w:tcW w:w="1350"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cs="宋体"/>
                      <w:color w:val="000000"/>
                      <w:szCs w:val="24"/>
                      <w:lang w:val="en-US" w:eastAsia="zh-CN"/>
                    </w:rPr>
                  </w:pPr>
                  <w:r>
                    <w:rPr>
                      <w:rFonts w:hint="eastAsia" w:ascii="宋体" w:hAnsi="宋体" w:eastAsia="宋体" w:cs="宋体"/>
                      <w:color w:val="000000"/>
                      <w:szCs w:val="24"/>
                      <w:lang w:eastAsia="zh-CN"/>
                    </w:rPr>
                    <w:t>合</w:t>
                  </w:r>
                  <w:r>
                    <w:rPr>
                      <w:rFonts w:hint="eastAsia" w:ascii="宋体" w:hAnsi="宋体" w:eastAsia="宋体" w:cs="宋体"/>
                      <w:color w:val="000000"/>
                      <w:szCs w:val="24"/>
                      <w:lang w:val="en-US" w:eastAsia="zh-CN"/>
                    </w:rPr>
                    <w:t>合同履约率100%</w:t>
                  </w:r>
                </w:p>
                <w:p>
                  <w:pPr>
                    <w:shd w:val="clear" w:color="auto" w:fill="C7DAF1" w:themeFill="text2" w:themeFillTint="32"/>
                    <w:rPr>
                      <w:rFonts w:hint="eastAsia" w:ascii="宋体" w:hAnsi="宋体" w:eastAsia="宋体" w:cs="宋体"/>
                      <w:color w:val="000000"/>
                      <w:szCs w:val="24"/>
                    </w:rPr>
                  </w:pPr>
                </w:p>
              </w:tc>
              <w:tc>
                <w:tcPr>
                  <w:tcW w:w="3136" w:type="dxa"/>
                  <w:shd w:val="clear" w:color="auto" w:fill="auto"/>
                  <w:vAlign w:val="center"/>
                </w:tcPr>
                <w:p>
                  <w:pPr>
                    <w:jc w:val="center"/>
                    <w:rPr>
                      <w:rFonts w:hint="default" w:ascii="宋体" w:hAnsi="宋体" w:eastAsia="宋体" w:cs="宋体"/>
                      <w:color w:val="000000"/>
                      <w:szCs w:val="24"/>
                      <w:lang w:val="en-US" w:eastAsia="zh-CN"/>
                    </w:rPr>
                  </w:pPr>
                  <w:r>
                    <w:rPr>
                      <w:rFonts w:hint="eastAsia" w:ascii="宋体" w:hAnsi="宋体"/>
                      <w:color w:val="000000"/>
                      <w:sz w:val="18"/>
                      <w:szCs w:val="18"/>
                      <w:lang w:val="en-US" w:eastAsia="zh-CN"/>
                    </w:rPr>
                    <w:t>合同履约率100%</w:t>
                  </w:r>
                </w:p>
              </w:tc>
              <w:tc>
                <w:tcPr>
                  <w:tcW w:w="1350" w:type="dxa"/>
                  <w:shd w:val="clear" w:color="auto" w:fill="auto"/>
                  <w:vAlign w:val="center"/>
                </w:tcPr>
                <w:p>
                  <w:pPr>
                    <w:shd w:val="clear" w:color="auto" w:fill="C7DAF1" w:themeFill="text2" w:themeFillTint="32"/>
                    <w:rPr>
                      <w:rFonts w:hint="eastAsia" w:ascii="宋体" w:hAnsi="宋体" w:eastAsia="宋体" w:cs="宋体"/>
                      <w:color w:val="000000"/>
                      <w:szCs w:val="24"/>
                      <w:lang w:val="en-GB" w:eastAsia="zh-CN"/>
                    </w:rPr>
                  </w:pPr>
                  <w:r>
                    <w:rPr>
                      <w:rFonts w:hint="eastAsia" w:ascii="宋体" w:hAnsi="宋体" w:eastAsia="宋体" w:cs="宋体"/>
                      <w:color w:val="000000"/>
                      <w:szCs w:val="24"/>
                      <w:lang w:eastAsia="zh-CN"/>
                    </w:rPr>
                    <w:t>综合部</w:t>
                  </w:r>
                </w:p>
              </w:tc>
              <w:tc>
                <w:tcPr>
                  <w:tcW w:w="1774" w:type="dxa"/>
                  <w:shd w:val="clear" w:color="auto" w:fill="auto"/>
                  <w:vAlign w:val="center"/>
                </w:tcPr>
                <w:p>
                  <w:pPr>
                    <w:shd w:val="clear" w:color="auto" w:fill="C7DAF1" w:themeFill="text2" w:themeFillTint="32"/>
                    <w:rPr>
                      <w:rFonts w:hint="eastAsia" w:ascii="宋体" w:hAnsi="宋体" w:eastAsia="宋体" w:cs="宋体"/>
                      <w:color w:val="000000"/>
                      <w:szCs w:val="24"/>
                      <w:lang w:val="en-US" w:eastAsia="zh-CN"/>
                    </w:rPr>
                  </w:pPr>
                  <w:r>
                    <w:rPr>
                      <w:rFonts w:hint="eastAsia" w:ascii="宋体" w:hAnsi="宋体" w:eastAsia="宋体" w:cs="宋体"/>
                      <w:color w:val="000000"/>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cs="宋体"/>
                      <w:color w:val="000000"/>
                      <w:szCs w:val="24"/>
                    </w:rPr>
                  </w:pPr>
                  <w:r>
                    <w:rPr>
                      <w:rFonts w:hint="eastAsia" w:ascii="宋体" w:hAnsi="宋体" w:eastAsia="宋体" w:cs="宋体"/>
                      <w:color w:val="000000"/>
                      <w:szCs w:val="24"/>
                      <w:lang w:val="en-US" w:eastAsia="zh-CN"/>
                    </w:rPr>
                    <w:t>审计合格率100%</w:t>
                  </w:r>
                </w:p>
              </w:tc>
              <w:tc>
                <w:tcPr>
                  <w:tcW w:w="3136" w:type="dxa"/>
                  <w:shd w:val="clear" w:color="auto" w:fill="auto"/>
                  <w:vAlign w:val="center"/>
                </w:tcPr>
                <w:p>
                  <w:pPr>
                    <w:jc w:val="center"/>
                    <w:rPr>
                      <w:rFonts w:hint="default" w:ascii="宋体" w:hAnsi="宋体" w:eastAsia="宋体" w:cs="宋体"/>
                      <w:color w:val="000000"/>
                      <w:szCs w:val="24"/>
                      <w:lang w:val="en-US"/>
                    </w:rPr>
                  </w:pPr>
                  <w:r>
                    <w:rPr>
                      <w:rFonts w:hint="eastAsia" w:ascii="宋体" w:hAnsi="宋体"/>
                      <w:color w:val="000000"/>
                      <w:sz w:val="18"/>
                      <w:szCs w:val="18"/>
                      <w:lang w:val="en-US" w:eastAsia="zh-CN"/>
                    </w:rPr>
                    <w:t>服务合格数/服务总数×100%</w:t>
                  </w:r>
                </w:p>
              </w:tc>
              <w:tc>
                <w:tcPr>
                  <w:tcW w:w="1350" w:type="dxa"/>
                  <w:shd w:val="clear" w:color="auto" w:fill="auto"/>
                  <w:vAlign w:val="center"/>
                </w:tcPr>
                <w:p>
                  <w:pPr>
                    <w:shd w:val="clear" w:color="auto" w:fill="C7DAF1" w:themeFill="text2" w:themeFillTint="32"/>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综合部</w:t>
                  </w:r>
                </w:p>
              </w:tc>
              <w:tc>
                <w:tcPr>
                  <w:tcW w:w="1774" w:type="dxa"/>
                  <w:shd w:val="clear" w:color="auto" w:fill="auto"/>
                  <w:vAlign w:val="center"/>
                </w:tcPr>
                <w:p>
                  <w:pPr>
                    <w:shd w:val="clear" w:color="auto" w:fill="C7DAF1" w:themeFill="text2" w:themeFillTint="32"/>
                    <w:rPr>
                      <w:rFonts w:hint="default" w:ascii="宋体" w:hAnsi="宋体" w:eastAsia="宋体" w:cs="宋体"/>
                      <w:color w:val="000000"/>
                      <w:szCs w:val="24"/>
                      <w:lang w:val="en-US" w:eastAsia="zh-CN"/>
                    </w:rPr>
                  </w:pPr>
                  <w:r>
                    <w:rPr>
                      <w:rFonts w:hint="eastAsia" w:ascii="宋体" w:hAnsi="宋体" w:eastAsia="宋体" w:cs="宋体"/>
                      <w:color w:val="000000"/>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cs="宋体"/>
                      <w:color w:val="000000"/>
                      <w:szCs w:val="24"/>
                    </w:rPr>
                  </w:pPr>
                  <w:r>
                    <w:rPr>
                      <w:rFonts w:hint="eastAsia" w:ascii="宋体" w:hAnsi="宋体" w:eastAsia="宋体" w:cs="宋体"/>
                      <w:color w:val="000000"/>
                      <w:szCs w:val="24"/>
                      <w:lang w:val="en-US" w:eastAsia="zh-CN"/>
                    </w:rPr>
                    <w:t>顾客满意度90分以上</w:t>
                  </w:r>
                </w:p>
              </w:tc>
              <w:tc>
                <w:tcPr>
                  <w:tcW w:w="3136" w:type="dxa"/>
                  <w:shd w:val="clear" w:color="auto" w:fill="auto"/>
                  <w:vAlign w:val="center"/>
                </w:tcPr>
                <w:p>
                  <w:pPr>
                    <w:jc w:val="center"/>
                    <w:rPr>
                      <w:rFonts w:hint="eastAsia" w:ascii="宋体" w:hAnsi="宋体" w:eastAsia="宋体" w:cs="宋体"/>
                      <w:color w:val="000000"/>
                      <w:szCs w:val="24"/>
                    </w:rPr>
                  </w:pPr>
                  <w:r>
                    <w:rPr>
                      <w:rFonts w:hint="eastAsia" w:ascii="宋体" w:hAnsi="宋体" w:cs="宋体"/>
                      <w:color w:val="000000"/>
                      <w:sz w:val="18"/>
                      <w:szCs w:val="18"/>
                    </w:rPr>
                    <w:t>顾客满意度=∑n1+n2+n3+……+ni/n</w:t>
                  </w:r>
                </w:p>
              </w:tc>
              <w:tc>
                <w:tcPr>
                  <w:tcW w:w="1350" w:type="dxa"/>
                  <w:shd w:val="clear" w:color="auto" w:fill="auto"/>
                  <w:vAlign w:val="center"/>
                </w:tcPr>
                <w:p>
                  <w:pPr>
                    <w:shd w:val="clear" w:color="auto" w:fill="C7DAF1" w:themeFill="text2" w:themeFillTint="32"/>
                    <w:rPr>
                      <w:rFonts w:hint="eastAsia" w:ascii="宋体" w:hAnsi="宋体" w:eastAsia="宋体" w:cs="宋体"/>
                      <w:color w:val="000000"/>
                      <w:szCs w:val="24"/>
                      <w:lang w:val="en-US" w:eastAsia="zh-CN"/>
                    </w:rPr>
                  </w:pPr>
                  <w:r>
                    <w:rPr>
                      <w:rFonts w:hint="eastAsia" w:ascii="宋体" w:hAnsi="宋体" w:eastAsia="宋体" w:cs="宋体"/>
                      <w:color w:val="000000"/>
                      <w:szCs w:val="24"/>
                      <w:lang w:eastAsia="zh-CN"/>
                    </w:rPr>
                    <w:t>综合部</w:t>
                  </w:r>
                </w:p>
              </w:tc>
              <w:tc>
                <w:tcPr>
                  <w:tcW w:w="1774" w:type="dxa"/>
                  <w:shd w:val="clear" w:color="auto" w:fill="auto"/>
                  <w:vAlign w:val="center"/>
                </w:tcPr>
                <w:p>
                  <w:pPr>
                    <w:shd w:val="clear" w:color="auto" w:fill="C7DAF1" w:themeFill="text2" w:themeFillTint="32"/>
                    <w:rPr>
                      <w:rFonts w:hint="default" w:ascii="宋体" w:hAnsi="宋体" w:eastAsia="宋体" w:cs="宋体"/>
                      <w:color w:val="000000"/>
                      <w:szCs w:val="24"/>
                      <w:lang w:val="en-US" w:eastAsia="zh-CN"/>
                    </w:rPr>
                  </w:pPr>
                  <w:r>
                    <w:rPr>
                      <w:rFonts w:hint="eastAsia" w:ascii="宋体" w:hAnsi="宋体" w:eastAsia="宋体" w:cs="宋体"/>
                      <w:color w:val="000000"/>
                      <w:szCs w:val="24"/>
                    </w:rPr>
                    <w:t>98</w:t>
                  </w:r>
                  <w:r>
                    <w:rPr>
                      <w:rFonts w:hint="eastAsia" w:ascii="宋体" w:hAnsi="宋体" w:eastAsia="宋体" w:cs="宋体"/>
                      <w:color w:val="000000"/>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szCs w:val="21"/>
                    </w:rPr>
                    <w:t xml:space="preserve"> </w:t>
                  </w: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w:t>
            </w:r>
            <w:r>
              <w:rPr>
                <w:rFonts w:hint="eastAsia"/>
                <w:highlight w:val="none"/>
              </w:rPr>
              <w:t>面积</w:t>
            </w:r>
            <w:r>
              <w:rPr>
                <w:rFonts w:hint="eastAsia"/>
                <w:highlight w:val="none"/>
                <w:lang w:val="en-US" w:eastAsia="zh-CN"/>
              </w:rPr>
              <w:t xml:space="preserve"> 200</w:t>
            </w:r>
            <w:r>
              <w:rPr>
                <w:rFonts w:hint="eastAsia"/>
                <w:highlight w:val="none"/>
              </w:rPr>
              <w:t>平方米</w:t>
            </w:r>
            <w:r>
              <w:rPr>
                <w:rFonts w:hint="eastAsia"/>
              </w:rPr>
              <w:t>；生产车间</w:t>
            </w:r>
            <w:r>
              <w:rPr>
                <w:rFonts w:hint="eastAsia"/>
                <w:lang w:val="en-US" w:eastAsia="zh-CN"/>
              </w:rPr>
              <w:t xml:space="preserve">0 </w:t>
            </w:r>
            <w:r>
              <w:rPr>
                <w:rFonts w:hint="eastAsia"/>
              </w:rPr>
              <w:t>个；库房</w:t>
            </w:r>
            <w:r>
              <w:rPr>
                <w:rFonts w:hint="eastAsia"/>
                <w:lang w:val="en-US" w:eastAsia="zh-CN"/>
              </w:rPr>
              <w:t xml:space="preserve"> 0</w:t>
            </w:r>
            <w:r>
              <w:rPr>
                <w:rFonts w:hint="eastAsia"/>
              </w:rPr>
              <w:t>个；实验室</w:t>
            </w:r>
            <w:r>
              <w:rPr>
                <w:rFonts w:hint="eastAsia"/>
                <w:lang w:val="en-US" w:eastAsia="zh-CN"/>
              </w:rPr>
              <w:t xml:space="preserve"> 0</w:t>
            </w:r>
            <w:r>
              <w:rPr>
                <w:rFonts w:hint="eastAsia"/>
              </w:rPr>
              <w:t>个；</w:t>
            </w:r>
          </w:p>
          <w:p>
            <w:pPr>
              <w:shd w:val="clear" w:color="auto" w:fill="C7DAF1" w:themeFill="text2" w:themeFillTint="32"/>
              <w:rPr>
                <w:u w:val="single"/>
              </w:rPr>
            </w:pPr>
            <w:r>
              <w:rPr>
                <w:rFonts w:hint="eastAsia"/>
              </w:rPr>
              <w:t>主要生产设备有：</w:t>
            </w:r>
            <w:r>
              <w:rPr>
                <w:rFonts w:hint="eastAsia" w:ascii="宋体" w:hAnsi="宋体" w:eastAsia="宋体" w:cs="宋体"/>
                <w:szCs w:val="21"/>
                <w:highlight w:val="none"/>
              </w:rPr>
              <w:t>电脑、打印机等</w:t>
            </w:r>
            <w:r>
              <w:rPr>
                <w:rFonts w:hint="eastAsia" w:eastAsia="宋体"/>
                <w:lang w:val="en-US" w:eastAsia="zh-CN"/>
              </w:rPr>
              <w:t xml:space="preserve">   </w:t>
            </w:r>
          </w:p>
          <w:p>
            <w:pPr>
              <w:shd w:val="clear" w:color="auto" w:fill="C7DAF1" w:themeFill="text2" w:themeFillTint="32"/>
              <w:rPr>
                <w:rFonts w:hint="default" w:eastAsia="宋体"/>
                <w:lang w:val="en-US" w:eastAsia="zh-CN"/>
              </w:rPr>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rFonts w:hint="default" w:eastAsia="宋体"/>
                <w:u w:val="single"/>
                <w:lang w:val="en-US" w:eastAsia="zh-CN"/>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483"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组织的</w:t>
            </w:r>
            <w:r>
              <w:rPr>
                <w:highlight w:val="none"/>
              </w:rPr>
              <w:t>监视和测量资源</w:t>
            </w:r>
            <w:r>
              <w:rPr>
                <w:rFonts w:hint="eastAsia"/>
                <w:highlight w:val="none"/>
              </w:rPr>
              <w:t>：</w:t>
            </w:r>
            <w:r>
              <w:rPr>
                <w:rFonts w:hint="eastAsia" w:ascii="Wingdings" w:hAnsi="Wingdings"/>
                <w:highlight w:val="none"/>
                <w:lang w:eastAsia="zh-CN"/>
              </w:rPr>
              <w:t>□</w:t>
            </w:r>
            <w:r>
              <w:rPr>
                <w:rFonts w:hint="eastAsia"/>
                <w:highlight w:val="none"/>
              </w:rPr>
              <w:t>计量器具</w:t>
            </w:r>
            <w:r>
              <w:rPr>
                <w:rFonts w:hint="eastAsia" w:ascii="Wingdings" w:hAnsi="Wingdings"/>
                <w:highlight w:val="none"/>
                <w:lang w:eastAsia="zh-CN"/>
              </w:rPr>
              <w:t>□</w:t>
            </w:r>
            <w:r>
              <w:rPr>
                <w:rFonts w:hint="eastAsia"/>
                <w:highlight w:val="none"/>
              </w:rPr>
              <w:t>服务流程检查表</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计量器具的</w:t>
            </w:r>
            <w:r>
              <w:rPr>
                <w:highlight w:val="none"/>
              </w:rPr>
              <w:t>测量溯源</w:t>
            </w:r>
            <w:r>
              <w:rPr>
                <w:rFonts w:hint="eastAsia"/>
                <w:highlight w:val="none"/>
              </w:rPr>
              <w:t>方法：</w:t>
            </w:r>
            <w:r>
              <w:rPr>
                <w:rFonts w:hint="eastAsia" w:ascii="Wingdings" w:hAnsi="Wingdings"/>
                <w:highlight w:val="none"/>
                <w:lang w:eastAsia="zh-CN"/>
              </w:rPr>
              <w:t>□</w:t>
            </w:r>
            <w:r>
              <w:rPr>
                <w:rFonts w:hint="eastAsia"/>
                <w:highlight w:val="none"/>
              </w:rPr>
              <w:t>自校</w:t>
            </w:r>
            <w:r>
              <w:rPr>
                <w:rFonts w:hint="eastAsia" w:ascii="Wingdings" w:hAnsi="Wingdings"/>
                <w:highlight w:val="none"/>
                <w:lang w:eastAsia="zh-CN"/>
              </w:rPr>
              <w:t>□</w:t>
            </w:r>
            <w:r>
              <w:rPr>
                <w:rFonts w:hint="eastAsia"/>
                <w:highlight w:val="none"/>
              </w:rPr>
              <w:t>外校</w:t>
            </w:r>
          </w:p>
          <w:p>
            <w:pPr>
              <w:shd w:val="clear" w:color="auto" w:fill="C7DAF1" w:themeFill="text2" w:themeFillTint="32"/>
              <w:rPr>
                <w:highlight w:val="none"/>
                <w:u w:val="single"/>
              </w:rPr>
            </w:pPr>
            <w:r>
              <w:rPr>
                <w:rFonts w:hint="eastAsia"/>
                <w:highlight w:val="none"/>
              </w:rPr>
              <w:t>国家强检的</w:t>
            </w:r>
            <w:r>
              <w:rPr>
                <w:rFonts w:hint="eastAsia" w:eastAsia="宋体"/>
                <w:highlight w:val="none"/>
              </w:rPr>
              <w:t>计量器具有：</w:t>
            </w:r>
            <w:r>
              <w:rPr>
                <w:rFonts w:hint="eastAsia" w:eastAsia="宋体"/>
                <w:highlight w:val="none"/>
                <w:lang w:val="en-US" w:eastAsia="zh-CN"/>
              </w:rPr>
              <w:t>无。</w:t>
            </w:r>
          </w:p>
          <w:p>
            <w:pPr>
              <w:shd w:val="clear" w:color="auto" w:fill="C7DAF1" w:themeFill="text2" w:themeFillTint="32"/>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进行了定期校准/检定</w:t>
            </w:r>
            <w:r>
              <w:rPr>
                <w:rFonts w:hint="eastAsia" w:ascii="Wingdings" w:hAnsi="Wingdings"/>
                <w:highlight w:val="none"/>
                <w:lang w:eastAsia="zh-CN"/>
              </w:rPr>
              <w:t>□</w:t>
            </w:r>
            <w:r>
              <w:rPr>
                <w:rFonts w:hint="eastAsia"/>
                <w:highlight w:val="none"/>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highlight w:val="none"/>
                <w:lang w:eastAsia="zh-CN"/>
              </w:rPr>
              <w:t>□</w:t>
            </w:r>
            <w:r>
              <w:rPr>
                <w:rFonts w:hint="eastAsia"/>
              </w:rPr>
              <w:t>加工工艺</w:t>
            </w:r>
            <w:r>
              <w:rPr>
                <w:rFonts w:hint="eastAsia" w:ascii="Wingdings" w:hAnsi="Wingdings"/>
                <w:highlight w:val="none"/>
                <w:lang w:eastAsia="zh-CN"/>
              </w:rPr>
              <w:t>□</w:t>
            </w:r>
            <w:r>
              <w:rPr>
                <w:rFonts w:hint="eastAsia"/>
              </w:rPr>
              <w:t>生产经验</w:t>
            </w:r>
            <w:r>
              <w:rPr>
                <w:rFonts w:hint="eastAsia"/>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4"/>
              <w:gridCol w:w="254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pPr>
                  <w:r>
                    <w:rPr>
                      <w:rFonts w:hint="eastAsia"/>
                    </w:rPr>
                    <w:t>产品/服务名称</w:t>
                  </w:r>
                </w:p>
              </w:tc>
              <w:tc>
                <w:tcPr>
                  <w:tcW w:w="254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rPr>
                      <w:rFonts w:hint="eastAsia" w:eastAsia="宋体"/>
                      <w:lang w:eastAsia="zh-CN"/>
                    </w:rPr>
                  </w:pPr>
                  <w:r>
                    <w:rPr>
                      <w:sz w:val="20"/>
                    </w:rPr>
                    <w:t>财务审计（会计报表、经济责任、财务收支、专项资金、验资、清算、基本建设年度决算）、会计咨询、管理咨询、税务咨询、会计培训、绩效评价、代理记账</w:t>
                  </w:r>
                </w:p>
              </w:tc>
              <w:tc>
                <w:tcPr>
                  <w:tcW w:w="2543" w:type="dxa"/>
                </w:tcPr>
                <w:p>
                  <w:pPr>
                    <w:shd w:val="clear" w:color="auto" w:fill="C7DAF1" w:themeFill="text2" w:themeFillTint="32"/>
                    <w:jc w:val="left"/>
                    <w:rPr>
                      <w:rFonts w:hint="default" w:eastAsia="宋体"/>
                      <w:lang w:val="en-US" w:eastAsia="zh-CN"/>
                    </w:rPr>
                  </w:pPr>
                  <w:r>
                    <w:rPr>
                      <w:rFonts w:hint="eastAsia" w:ascii="宋体" w:hAnsi="宋体" w:cs="宋体"/>
                      <w:sz w:val="21"/>
                      <w:szCs w:val="21"/>
                      <w:lang w:val="en-US" w:eastAsia="zh-CN"/>
                    </w:rPr>
                    <w:t>服务</w:t>
                  </w:r>
                  <w:r>
                    <w:rPr>
                      <w:rFonts w:hint="eastAsia" w:ascii="宋体" w:hAnsi="宋体" w:eastAsia="宋体" w:cs="宋体"/>
                      <w:sz w:val="21"/>
                      <w:szCs w:val="21"/>
                      <w:lang w:eastAsia="zh-CN"/>
                    </w:rPr>
                    <w:t>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pPr>
                </w:p>
              </w:tc>
              <w:tc>
                <w:tcPr>
                  <w:tcW w:w="2543"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pPr>
                </w:p>
              </w:tc>
              <w:tc>
                <w:tcPr>
                  <w:tcW w:w="254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宋体" w:hAnsi="宋体" w:cs="宋体"/>
                <w:sz w:val="21"/>
                <w:szCs w:val="21"/>
                <w:u w:val="single"/>
                <w:lang w:val="en-US" w:eastAsia="zh-CN"/>
              </w:rPr>
              <w:t>服务</w:t>
            </w:r>
            <w:r>
              <w:rPr>
                <w:rFonts w:hint="eastAsia" w:ascii="宋体" w:hAnsi="宋体" w:eastAsia="宋体" w:cs="宋体"/>
                <w:sz w:val="21"/>
                <w:szCs w:val="21"/>
                <w:u w:val="single"/>
                <w:lang w:eastAsia="zh-CN"/>
              </w:rPr>
              <w:t>过程</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lang w:eastAsia="zh-CN"/>
              </w:rPr>
              <w:t>■</w:t>
            </w:r>
            <w:r>
              <w:rPr>
                <w:rFonts w:hint="eastAsia"/>
              </w:rPr>
              <w:t>存在不足，说明</w:t>
            </w:r>
            <w:r>
              <w:rPr>
                <w:rFonts w:hint="eastAsia"/>
                <w:lang w:eastAsia="zh-CN"/>
              </w:rPr>
              <w:t>：</w:t>
            </w:r>
            <w:r>
              <w:rPr>
                <w:rFonts w:hint="eastAsia"/>
                <w:lang w:val="en-US" w:eastAsia="zh-CN"/>
              </w:rPr>
              <w:t>暂未用模具未进行状态标识，已开具不符合项报告，需整改</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rPr>
                <w:rFonts w:hint="default" w:eastAsia="宋体"/>
                <w:lang w:val="en-US" w:eastAsia="zh-CN"/>
              </w:rPr>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r>
              <w:rPr>
                <w:rFonts w:hint="eastAsia"/>
                <w:lang w:val="en-US" w:eastAsia="zh-CN"/>
              </w:rPr>
              <w:t>。</w:t>
            </w:r>
          </w:p>
          <w:p>
            <w:pPr>
              <w:shd w:val="clear" w:color="auto" w:fill="C7DAF1" w:themeFill="text2" w:themeFillTint="32"/>
            </w:pPr>
            <w:r>
              <w:rPr>
                <w:rFonts w:hint="eastAsia" w:eastAsia="宋体"/>
              </w:rPr>
              <w:t>《型式检验报告》，</w:t>
            </w:r>
            <w:r>
              <w:rPr>
                <w:rFonts w:hint="eastAsia"/>
              </w:rPr>
              <w:t>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highlight w:val="none"/>
              </w:rPr>
              <w:t>策划于</w:t>
            </w:r>
            <w:r>
              <w:rPr>
                <w:rFonts w:hint="eastAsia"/>
                <w:highlight w:val="none"/>
                <w:u w:val="single"/>
                <w:lang w:val="en-US" w:eastAsia="zh-CN"/>
              </w:rPr>
              <w:t>2022年3月10日</w:t>
            </w:r>
            <w:r>
              <w:rPr>
                <w:rFonts w:hint="eastAsia"/>
                <w:highlight w:val="none"/>
              </w:rPr>
              <w:t>实施了质量管理体</w:t>
            </w:r>
            <w:r>
              <w:rPr>
                <w:rFonts w:hint="eastAsia"/>
              </w:rPr>
              <w:t>系内部审核，对质量管理体系的符合性和有效性进行了审核。内审发现的</w:t>
            </w:r>
            <w:r>
              <w:rPr>
                <w:rFonts w:hint="eastAsia"/>
                <w:u w:val="single"/>
                <w:lang w:val="en-US" w:eastAsia="zh-CN"/>
              </w:rPr>
              <w:t>1</w:t>
            </w:r>
            <w:r>
              <w:rPr>
                <w:rFonts w:hint="eastAsia"/>
                <w:u w:val="single"/>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highlight w:val="none"/>
              </w:rPr>
              <w:t>在</w:t>
            </w:r>
            <w:r>
              <w:rPr>
                <w:rFonts w:hint="eastAsia"/>
                <w:highlight w:val="none"/>
                <w:u w:val="single"/>
                <w:lang w:val="en-US" w:eastAsia="zh-CN"/>
              </w:rPr>
              <w:t>2022年3月20日</w:t>
            </w:r>
            <w:r>
              <w:rPr>
                <w:rFonts w:hint="eastAsia"/>
                <w:highlight w:val="none"/>
              </w:rPr>
              <w:t>对组织</w:t>
            </w:r>
            <w:r>
              <w:rPr>
                <w:rFonts w:hint="eastAsia"/>
              </w:rPr>
              <w:t>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rFonts w:hint="eastAsia" w:eastAsia="宋体"/>
                <w:lang w:val="en-US" w:eastAsia="zh-CN"/>
              </w:rPr>
            </w:pPr>
          </w:p>
        </w:tc>
        <w:tc>
          <w:tcPr>
            <w:tcW w:w="649" w:type="dxa"/>
            <w:vAlign w:val="center"/>
          </w:tcPr>
          <w:p>
            <w:pPr>
              <w:shd w:val="clear" w:color="auto" w:fill="C7DAF1" w:themeFill="text2" w:themeFillTint="32"/>
              <w:rPr>
                <w:rFonts w:hint="eastAsia" w:eastAsia="宋体"/>
                <w:lang w:val="en-US" w:eastAsia="zh-CN"/>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rFonts w:hint="eastAsia" w:eastAsia="宋体"/>
                <w:highlight w:val="none"/>
                <w:lang w:eastAsia="zh-CN"/>
              </w:rPr>
            </w:pPr>
            <w:r>
              <w:rPr>
                <w:rFonts w:hint="eastAsia"/>
                <w:lang w:val="en-US" w:eastAsia="zh-CN"/>
              </w:rP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rFonts w:hint="eastAsia" w:eastAsia="宋体"/>
                <w:lang w:eastAsia="zh-CN"/>
              </w:rPr>
            </w:pPr>
            <w:r>
              <w:rPr>
                <w:rFonts w:hint="eastAsia"/>
                <w:lang w:val="en-US" w:eastAsia="zh-CN"/>
              </w:rP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tcBorders>
              <w:bottom w:val="single" w:color="auto" w:sz="4" w:space="0"/>
            </w:tcBorders>
            <w:vAlign w:val="center"/>
          </w:tcPr>
          <w:p>
            <w:pPr>
              <w:shd w:val="clear" w:color="auto" w:fill="C7DAF1" w:themeFill="text2" w:themeFillTint="32"/>
              <w:rPr>
                <w:rFonts w:hint="default" w:eastAsia="宋体"/>
                <w:highlight w:val="none"/>
                <w:lang w:val="en-US" w:eastAsia="zh-CN"/>
              </w:rPr>
            </w:pPr>
            <w:bookmarkStart w:id="34" w:name="_GoBack"/>
            <w:bookmarkEnd w:id="34"/>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49"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I4MWU3MDczOTkxMDk2MzJiODM1NDdkNjA1ZDJkNjkifQ=="/>
  </w:docVars>
  <w:rsids>
    <w:rsidRoot w:val="00000000"/>
    <w:rsid w:val="67B15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537"/>
      <w:jc w:val="left"/>
    </w:pPr>
    <w:rPr>
      <w:rFonts w:ascii="宋体" w:hAnsi="宋体"/>
      <w:kern w:val="0"/>
      <w:szCs w:val="21"/>
      <w:lang w:eastAsia="en-US"/>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18665</Words>
  <Characters>19368</Characters>
  <Lines>150</Lines>
  <Paragraphs>42</Paragraphs>
  <TotalTime>1</TotalTime>
  <ScaleCrop>false</ScaleCrop>
  <LinksUpToDate>false</LinksUpToDate>
  <CharactersWithSpaces>19489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2022-10-27T02:17:09Z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2052-11.1.0.12598</vt:lpwstr>
  </property>
</Properties>
</file>