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1080-2022-QEO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272"/>
        <w:gridCol w:w="789"/>
        <w:gridCol w:w="979"/>
        <w:gridCol w:w="1370"/>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江西道承智能科技有限公司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418"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2418"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91360982MA7J1F2J1R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2418"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2418" w:type="dxa"/>
          </w:tcPr>
          <w:p>
            <w:pPr>
              <w:snapToGrid w:val="0"/>
              <w:spacing w:line="0" w:lineRule="atLeast"/>
              <w:jc w:val="center"/>
              <w:rPr>
                <w:sz w:val="22"/>
                <w:szCs w:val="22"/>
              </w:rPr>
            </w:pPr>
            <w:bookmarkStart w:id="13" w:name="体系人数"/>
            <w:r>
              <w:rPr>
                <w:sz w:val="22"/>
                <w:szCs w:val="22"/>
              </w:rPr>
              <w:t>Q:7,E:7,O:7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828"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828"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4"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272" w:type="dxa"/>
          </w:tcPr>
          <w:p>
            <w:pPr>
              <w:snapToGrid w:val="0"/>
              <w:spacing w:line="0" w:lineRule="atLeast"/>
              <w:jc w:val="left"/>
              <w:rPr>
                <w:sz w:val="22"/>
                <w:szCs w:val="22"/>
              </w:rPr>
            </w:pPr>
            <w:r>
              <w:rPr>
                <w:rFonts w:hint="eastAsia"/>
                <w:sz w:val="22"/>
                <w:szCs w:val="22"/>
                <w:lang w:val="en-GB"/>
              </w:rPr>
              <w:t>中文公司名称及地址</w:t>
            </w:r>
          </w:p>
        </w:tc>
        <w:tc>
          <w:tcPr>
            <w:tcW w:w="5556"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272" w:type="dxa"/>
          </w:tcPr>
          <w:p>
            <w:pPr>
              <w:snapToGrid w:val="0"/>
              <w:spacing w:line="0" w:lineRule="atLeast"/>
              <w:jc w:val="left"/>
              <w:rPr>
                <w:sz w:val="22"/>
                <w:szCs w:val="22"/>
                <w:lang w:val="en-GB"/>
              </w:rPr>
            </w:pPr>
            <w:bookmarkStart w:id="18" w:name="组织名称Add1"/>
            <w:r>
              <w:rPr>
                <w:rFonts w:hint="eastAsia"/>
                <w:sz w:val="22"/>
                <w:szCs w:val="22"/>
              </w:rPr>
              <w:t>江西道承智能科技有限公司</w:t>
            </w:r>
            <w:bookmarkEnd w:id="18"/>
          </w:p>
        </w:tc>
        <w:tc>
          <w:tcPr>
            <w:tcW w:w="5556" w:type="dxa"/>
            <w:gridSpan w:val="4"/>
            <w:vMerge w:val="restart"/>
          </w:tcPr>
          <w:p>
            <w:pPr>
              <w:snapToGrid w:val="0"/>
              <w:spacing w:line="0" w:lineRule="atLeast"/>
              <w:jc w:val="left"/>
              <w:rPr>
                <w:sz w:val="22"/>
                <w:szCs w:val="22"/>
              </w:rPr>
            </w:pPr>
            <w:bookmarkStart w:id="19" w:name="审核范围"/>
            <w:r>
              <w:rPr>
                <w:sz w:val="22"/>
                <w:szCs w:val="22"/>
              </w:rPr>
              <w:t>Q：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w:t>
            </w:r>
          </w:p>
          <w:p>
            <w:pPr>
              <w:snapToGrid w:val="0"/>
              <w:spacing w:line="0" w:lineRule="atLeast"/>
              <w:jc w:val="left"/>
              <w:rPr>
                <w:sz w:val="22"/>
                <w:szCs w:val="22"/>
              </w:rPr>
            </w:pPr>
            <w:r>
              <w:rPr>
                <w:sz w:val="22"/>
                <w:szCs w:val="22"/>
              </w:rPr>
              <w:t>E：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环境管理活动</w:t>
            </w:r>
          </w:p>
          <w:p>
            <w:pPr>
              <w:snapToGrid w:val="0"/>
              <w:spacing w:line="0" w:lineRule="atLeast"/>
              <w:jc w:val="left"/>
              <w:rPr>
                <w:sz w:val="22"/>
                <w:szCs w:val="22"/>
              </w:rPr>
            </w:pPr>
            <w:r>
              <w:rPr>
                <w:sz w:val="22"/>
                <w:szCs w:val="22"/>
              </w:rPr>
              <w:t>O：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272" w:type="dxa"/>
          </w:tcPr>
          <w:p>
            <w:pPr>
              <w:snapToGrid w:val="0"/>
              <w:spacing w:line="0" w:lineRule="atLeast"/>
              <w:jc w:val="left"/>
              <w:rPr>
                <w:sz w:val="22"/>
                <w:szCs w:val="22"/>
              </w:rPr>
            </w:pPr>
            <w:bookmarkStart w:id="20" w:name="注册地址"/>
            <w:r>
              <w:rPr>
                <w:rFonts w:hint="eastAsia"/>
                <w:sz w:val="22"/>
                <w:szCs w:val="22"/>
                <w:lang w:val="en-GB"/>
              </w:rPr>
              <w:t>江西省宜春市樟树市观上镇观中路156号（自主承诺）</w:t>
            </w:r>
            <w:bookmarkEnd w:id="20"/>
          </w:p>
        </w:tc>
        <w:tc>
          <w:tcPr>
            <w:tcW w:w="555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272" w:type="dxa"/>
          </w:tcPr>
          <w:p>
            <w:pPr>
              <w:snapToGrid w:val="0"/>
              <w:spacing w:line="0" w:lineRule="atLeast"/>
              <w:jc w:val="left"/>
              <w:rPr>
                <w:sz w:val="22"/>
                <w:szCs w:val="22"/>
              </w:rPr>
            </w:pPr>
            <w:bookmarkStart w:id="21" w:name="办公地址"/>
            <w:r>
              <w:rPr>
                <w:rFonts w:hint="eastAsia"/>
                <w:sz w:val="22"/>
                <w:szCs w:val="22"/>
                <w:lang w:val="en-GB"/>
              </w:rPr>
              <w:t>江西省樟树市药都南大道中天豪苑A1座13楼</w:t>
            </w:r>
            <w:bookmarkEnd w:id="21"/>
          </w:p>
        </w:tc>
        <w:tc>
          <w:tcPr>
            <w:tcW w:w="555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4"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272"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556"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bookmarkStart w:id="22" w:name="_GoBack"/>
            <w:r>
              <w:rPr>
                <w:rFonts w:hint="eastAsia" w:eastAsia="宋体"/>
                <w:b/>
                <w:color w:val="000000" w:themeColor="text1"/>
                <w:sz w:val="18"/>
                <w:szCs w:val="18"/>
                <w:lang w:val="en-GB" w:eastAsia="zh-CN"/>
              </w:rPr>
              <w:drawing>
                <wp:anchor distT="0" distB="0" distL="114300" distR="114300" simplePos="0" relativeHeight="251660288" behindDoc="0" locked="0" layoutInCell="1" allowOverlap="1">
                  <wp:simplePos x="0" y="0"/>
                  <wp:positionH relativeFrom="column">
                    <wp:posOffset>-709930</wp:posOffset>
                  </wp:positionH>
                  <wp:positionV relativeFrom="paragraph">
                    <wp:posOffset>-924560</wp:posOffset>
                  </wp:positionV>
                  <wp:extent cx="7557770" cy="10695940"/>
                  <wp:effectExtent l="0" t="0" r="5080" b="10160"/>
                  <wp:wrapNone/>
                  <wp:docPr id="2" name="图片 2" descr="道承QEO2阶段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道承QEO2阶段_页面_4"/>
                          <pic:cNvPicPr>
                            <a:picLocks noChangeAspect="1"/>
                          </pic:cNvPicPr>
                        </pic:nvPicPr>
                        <pic:blipFill>
                          <a:blip r:embed="rId5"/>
                          <a:stretch>
                            <a:fillRect/>
                          </a:stretch>
                        </pic:blipFill>
                        <pic:spPr>
                          <a:xfrm>
                            <a:off x="0" y="0"/>
                            <a:ext cx="7557770" cy="10695940"/>
                          </a:xfrm>
                          <a:prstGeom prst="rect">
                            <a:avLst/>
                          </a:prstGeom>
                        </pic:spPr>
                      </pic:pic>
                    </a:graphicData>
                  </a:graphic>
                </wp:anchor>
              </w:drawing>
            </w:r>
            <w:bookmarkEnd w:id="22"/>
            <w:r>
              <w:rPr>
                <w:rFonts w:hint="eastAsia"/>
                <w:sz w:val="22"/>
                <w:szCs w:val="22"/>
                <w:lang w:val="en-GB"/>
              </w:rPr>
              <w:t>称</w:t>
            </w:r>
          </w:p>
        </w:tc>
        <w:tc>
          <w:tcPr>
            <w:tcW w:w="3272" w:type="dxa"/>
            <w:vMerge w:val="restart"/>
          </w:tcPr>
          <w:p>
            <w:pPr>
              <w:snapToGrid w:val="0"/>
              <w:spacing w:line="0" w:lineRule="atLeast"/>
              <w:jc w:val="left"/>
              <w:rPr>
                <w:sz w:val="22"/>
                <w:szCs w:val="22"/>
              </w:rPr>
            </w:pPr>
            <w:r>
              <w:rPr>
                <w:rFonts w:hint="eastAsia" w:cs="Arial"/>
                <w:b/>
                <w:bCs/>
                <w:sz w:val="22"/>
                <w:szCs w:val="16"/>
              </w:rPr>
              <w:t>Jiangxi Daocheng Intelligent Technology Co., Ltd</w:t>
            </w:r>
          </w:p>
        </w:tc>
        <w:tc>
          <w:tcPr>
            <w:tcW w:w="789" w:type="dxa"/>
          </w:tcPr>
          <w:p>
            <w:pPr>
              <w:snapToGrid w:val="0"/>
              <w:spacing w:line="0" w:lineRule="atLeast"/>
              <w:jc w:val="left"/>
              <w:rPr>
                <w:sz w:val="22"/>
                <w:szCs w:val="22"/>
              </w:rPr>
            </w:pPr>
            <w:r>
              <w:rPr>
                <w:rFonts w:hint="eastAsia"/>
                <w:sz w:val="22"/>
                <w:szCs w:val="22"/>
              </w:rPr>
              <w:t>QMS/EcMS</w:t>
            </w:r>
          </w:p>
        </w:tc>
        <w:tc>
          <w:tcPr>
            <w:tcW w:w="4767" w:type="dxa"/>
            <w:gridSpan w:val="3"/>
          </w:tcPr>
          <w:p>
            <w:pPr>
              <w:snapToGrid w:val="0"/>
              <w:spacing w:line="0" w:lineRule="atLeast"/>
              <w:jc w:val="left"/>
              <w:rPr>
                <w:sz w:val="21"/>
                <w:szCs w:val="16"/>
              </w:rPr>
            </w:pPr>
            <w:r>
              <w:rPr>
                <w:rFonts w:hint="eastAsia"/>
                <w:sz w:val="22"/>
                <w:szCs w:val="22"/>
              </w:rPr>
              <w:t>Metal products (intelligent compact shelves, bookshelves, facelift tables, dissecting tables, intelligent cinerary storage racks), security equipment (electronic monitoring equipment, intelligent cartridge cabinets, intelligent equipment cabinets), refrigeration equipment (Taiping cabinets, freezers, freezers, crystal coffins, memorial tables), melting furnaces (cremators, relic incinerators, sacrificial furnaces), special equipment for environmental protection (exhaust gas treatment equipment, air purification devices, sewage treatment equipment) Sales of display devices (electronic displays)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272" w:type="dxa"/>
            <w:vMerge w:val="continue"/>
          </w:tcPr>
          <w:p>
            <w:pPr>
              <w:snapToGrid w:val="0"/>
              <w:spacing w:line="0" w:lineRule="atLeast"/>
              <w:jc w:val="left"/>
              <w:rPr>
                <w:rFonts w:cs="Arial"/>
                <w:b/>
                <w:bCs/>
                <w:sz w:val="22"/>
                <w:szCs w:val="16"/>
              </w:rPr>
            </w:pPr>
          </w:p>
        </w:tc>
        <w:tc>
          <w:tcPr>
            <w:tcW w:w="789" w:type="dxa"/>
          </w:tcPr>
          <w:p>
            <w:pPr>
              <w:snapToGrid w:val="0"/>
              <w:spacing w:line="0" w:lineRule="atLeast"/>
              <w:jc w:val="left"/>
              <w:rPr>
                <w:sz w:val="22"/>
                <w:szCs w:val="22"/>
              </w:rPr>
            </w:pPr>
            <w:r>
              <w:rPr>
                <w:rFonts w:hint="eastAsia"/>
                <w:sz w:val="22"/>
                <w:szCs w:val="22"/>
              </w:rPr>
              <w:t>EMS</w:t>
            </w:r>
          </w:p>
        </w:tc>
        <w:tc>
          <w:tcPr>
            <w:tcW w:w="4767" w:type="dxa"/>
            <w:gridSpan w:val="3"/>
          </w:tcPr>
          <w:p>
            <w:pPr>
              <w:snapToGrid w:val="0"/>
              <w:spacing w:line="0" w:lineRule="atLeast"/>
              <w:jc w:val="left"/>
              <w:rPr>
                <w:sz w:val="21"/>
                <w:szCs w:val="16"/>
              </w:rPr>
            </w:pPr>
            <w:r>
              <w:rPr>
                <w:rFonts w:hint="eastAsia"/>
                <w:sz w:val="21"/>
                <w:szCs w:val="16"/>
              </w:rPr>
              <w:t>Metal products (intelligent compact shelves, bookshelves, facelift tables, dissecting tables, intelligent cinerary storage racks), security equipment (electronic monitoring equipment, intelligent cartridge cabinets, intelligent equipment cabinets), refrigeration equipment (Taiping cabinets, freezers, freezers, crystal coffins, memorial tables), melting furnaces (cremators, relic incinerators, sacrificial furnaces), special equipment for environmental protection (exhaust gas treatment equipment, air purification devices, sewage treatment equipment) Relevant environmental management activities of the places involved in the sales of display devices (electronic displays)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272" w:type="dxa"/>
            <w:vMerge w:val="restart"/>
          </w:tcPr>
          <w:p>
            <w:pPr>
              <w:snapToGrid w:val="0"/>
              <w:spacing w:line="0" w:lineRule="atLeast"/>
              <w:jc w:val="left"/>
              <w:rPr>
                <w:sz w:val="22"/>
                <w:szCs w:val="22"/>
              </w:rPr>
            </w:pPr>
            <w:r>
              <w:rPr>
                <w:rFonts w:hint="eastAsia" w:cs="Arial"/>
                <w:b/>
                <w:bCs/>
                <w:sz w:val="22"/>
                <w:szCs w:val="16"/>
              </w:rPr>
              <w:t>No. 156, Guanzhong Road, Guanshang Town, Zhangshu City, Yichun City, Jiangxi Province (independent commitment)</w:t>
            </w:r>
          </w:p>
        </w:tc>
        <w:tc>
          <w:tcPr>
            <w:tcW w:w="789" w:type="dxa"/>
          </w:tcPr>
          <w:p>
            <w:pPr>
              <w:snapToGrid w:val="0"/>
              <w:spacing w:line="0" w:lineRule="atLeast"/>
              <w:jc w:val="left"/>
              <w:rPr>
                <w:sz w:val="22"/>
                <w:szCs w:val="22"/>
              </w:rPr>
            </w:pPr>
            <w:r>
              <w:rPr>
                <w:rFonts w:hint="eastAsia"/>
                <w:sz w:val="22"/>
                <w:szCs w:val="22"/>
              </w:rPr>
              <w:t>OHSMS</w:t>
            </w:r>
          </w:p>
        </w:tc>
        <w:tc>
          <w:tcPr>
            <w:tcW w:w="4767" w:type="dxa"/>
            <w:gridSpan w:val="3"/>
          </w:tcPr>
          <w:p>
            <w:pPr>
              <w:snapToGrid w:val="0"/>
              <w:spacing w:line="0" w:lineRule="atLeast"/>
              <w:jc w:val="left"/>
              <w:rPr>
                <w:sz w:val="22"/>
                <w:szCs w:val="22"/>
              </w:rPr>
            </w:pPr>
            <w:r>
              <w:rPr>
                <w:rFonts w:hint="eastAsia"/>
                <w:sz w:val="22"/>
                <w:szCs w:val="22"/>
              </w:rPr>
              <w:t>Metal products (intelligent compact shelves, bookshelves, facelift tables, dissecting tables, intelligent cinerary storage racks), security equipment (electronic monitoring equipment, intelligent cartridge cabinets, intelligent equipment cabinets), refrigeration equipment (Taiping cabinets, freezers, freezers, crystal coffins, memorial tables), melting furnaces (cremators, relic incinerators, sacrificial furnaces), special equipment for environmental protection (exhaust gas treatment equipment, air purification devices, sewage treatment equipment) Relevant occupational health and safety management activities in the places involved in the sales of display devices (electronic displays)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272" w:type="dxa"/>
            <w:vMerge w:val="continue"/>
          </w:tcPr>
          <w:p>
            <w:pPr>
              <w:snapToGrid w:val="0"/>
              <w:spacing w:line="0" w:lineRule="atLeast"/>
              <w:jc w:val="left"/>
              <w:rPr>
                <w:rFonts w:cs="Arial"/>
                <w:b/>
                <w:bCs/>
                <w:sz w:val="22"/>
                <w:szCs w:val="16"/>
              </w:rPr>
            </w:pPr>
          </w:p>
        </w:tc>
        <w:tc>
          <w:tcPr>
            <w:tcW w:w="789" w:type="dxa"/>
          </w:tcPr>
          <w:p>
            <w:pPr>
              <w:snapToGrid w:val="0"/>
              <w:spacing w:line="0" w:lineRule="atLeast"/>
              <w:jc w:val="left"/>
              <w:rPr>
                <w:sz w:val="22"/>
                <w:szCs w:val="22"/>
              </w:rPr>
            </w:pPr>
            <w:r>
              <w:rPr>
                <w:rFonts w:hint="eastAsia"/>
                <w:sz w:val="22"/>
                <w:szCs w:val="22"/>
              </w:rPr>
              <w:t>EnMS</w:t>
            </w:r>
          </w:p>
        </w:tc>
        <w:tc>
          <w:tcPr>
            <w:tcW w:w="4767"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272" w:type="dxa"/>
            <w:vMerge w:val="restart"/>
          </w:tcPr>
          <w:p>
            <w:pPr>
              <w:snapToGrid w:val="0"/>
              <w:spacing w:line="0" w:lineRule="atLeast"/>
              <w:jc w:val="left"/>
              <w:rPr>
                <w:sz w:val="22"/>
                <w:szCs w:val="22"/>
              </w:rPr>
            </w:pPr>
            <w:r>
              <w:rPr>
                <w:rFonts w:hint="eastAsia" w:cs="Arial"/>
                <w:b/>
                <w:bCs/>
                <w:sz w:val="22"/>
                <w:szCs w:val="16"/>
              </w:rPr>
              <w:t>13/F, Block A1, Zhongtian Haoyuan, Yaodu South Avenue, Zhangshu City, Jiangxi Province</w:t>
            </w:r>
          </w:p>
        </w:tc>
        <w:tc>
          <w:tcPr>
            <w:tcW w:w="789" w:type="dxa"/>
          </w:tcPr>
          <w:p>
            <w:pPr>
              <w:snapToGrid w:val="0"/>
              <w:spacing w:line="0" w:lineRule="atLeast"/>
              <w:jc w:val="left"/>
              <w:rPr>
                <w:sz w:val="22"/>
                <w:szCs w:val="22"/>
              </w:rPr>
            </w:pPr>
            <w:r>
              <w:rPr>
                <w:rFonts w:hint="eastAsia"/>
                <w:sz w:val="22"/>
                <w:szCs w:val="22"/>
              </w:rPr>
              <w:t>FSMS</w:t>
            </w:r>
          </w:p>
        </w:tc>
        <w:tc>
          <w:tcPr>
            <w:tcW w:w="4767"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272" w:type="dxa"/>
            <w:vMerge w:val="continue"/>
          </w:tcPr>
          <w:p>
            <w:pPr>
              <w:snapToGrid w:val="0"/>
              <w:spacing w:line="0" w:lineRule="atLeast"/>
              <w:jc w:val="left"/>
              <w:rPr>
                <w:rFonts w:cs="Arial"/>
                <w:b/>
                <w:bCs/>
                <w:sz w:val="22"/>
                <w:szCs w:val="16"/>
              </w:rPr>
            </w:pPr>
          </w:p>
        </w:tc>
        <w:tc>
          <w:tcPr>
            <w:tcW w:w="789" w:type="dxa"/>
          </w:tcPr>
          <w:p>
            <w:pPr>
              <w:snapToGrid w:val="0"/>
              <w:spacing w:line="0" w:lineRule="atLeast"/>
              <w:jc w:val="left"/>
              <w:rPr>
                <w:sz w:val="22"/>
                <w:szCs w:val="22"/>
              </w:rPr>
            </w:pPr>
            <w:r>
              <w:rPr>
                <w:rFonts w:hint="eastAsia"/>
                <w:sz w:val="22"/>
                <w:szCs w:val="22"/>
              </w:rPr>
              <w:t>HACCP</w:t>
            </w:r>
          </w:p>
        </w:tc>
        <w:tc>
          <w:tcPr>
            <w:tcW w:w="4767"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04"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4"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272"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789" w:type="dxa"/>
          </w:tcPr>
          <w:p>
            <w:pPr>
              <w:snapToGrid w:val="0"/>
              <w:spacing w:line="0" w:lineRule="atLeast"/>
              <w:jc w:val="left"/>
              <w:rPr>
                <w:sz w:val="22"/>
                <w:szCs w:val="22"/>
              </w:rPr>
            </w:pPr>
            <w:r>
              <w:rPr>
                <w:rFonts w:hint="eastAsia"/>
                <w:sz w:val="22"/>
                <w:szCs w:val="18"/>
              </w:rPr>
              <w:t>审核组长签字</w:t>
            </w:r>
          </w:p>
        </w:tc>
        <w:tc>
          <w:tcPr>
            <w:tcW w:w="4767" w:type="dxa"/>
            <w:gridSpan w:val="3"/>
          </w:tcPr>
          <w:p>
            <w:pPr>
              <w:snapToGrid w:val="0"/>
              <w:spacing w:line="0" w:lineRule="atLeast"/>
              <w:jc w:val="left"/>
              <w:rPr>
                <w:sz w:val="22"/>
                <w:szCs w:val="22"/>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113030</wp:posOffset>
                  </wp:positionH>
                  <wp:positionV relativeFrom="paragraph">
                    <wp:posOffset>93345</wp:posOffset>
                  </wp:positionV>
                  <wp:extent cx="964565" cy="581660"/>
                  <wp:effectExtent l="0" t="0" r="6985" b="8890"/>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64565" cy="581660"/>
                          </a:xfrm>
                          <a:prstGeom prst="rect">
                            <a:avLst/>
                          </a:prstGeom>
                          <a:noFill/>
                          <a:ln>
                            <a:noFill/>
                          </a:ln>
                        </pic:spPr>
                      </pic:pic>
                    </a:graphicData>
                  </a:graphic>
                </wp:anchor>
              </w:drawing>
            </w:r>
          </w:p>
        </w:tc>
      </w:tr>
    </w:tbl>
    <w:p>
      <w:pPr>
        <w:snapToGrid w:val="0"/>
        <w:spacing w:line="0" w:lineRule="atLeast"/>
        <w:jc w:val="center"/>
        <w:rPr>
          <w:szCs w:val="24"/>
        </w:rPr>
      </w:pPr>
    </w:p>
    <w:p>
      <w:pPr>
        <w:pStyle w:val="2"/>
        <w:spacing w:line="0" w:lineRule="atLeast"/>
        <w:ind w:firstLine="0"/>
        <w:rPr>
          <w:rFonts w:hint="eastAsia" w:eastAsia="宋体"/>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119A333F"/>
    <w:rsid w:val="3B3E1264"/>
    <w:rsid w:val="71F07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1197</Words>
  <Characters>3253</Characters>
  <Lines>18</Lines>
  <Paragraphs>5</Paragraphs>
  <TotalTime>5</TotalTime>
  <ScaleCrop>false</ScaleCrop>
  <LinksUpToDate>false</LinksUpToDate>
  <CharactersWithSpaces>3627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2022-10-14T01:25:16Z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