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王熙晏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杨子恒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Merge w:val="continue"/>
            <w:vAlign w:val="center"/>
          </w:tcPr>
          <w:p/>
        </w:tc>
        <w:tc>
          <w:tcPr>
            <w:tcW w:w="12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2022年10月11-12日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Merge w:val="continue"/>
            <w:vAlign w:val="center"/>
          </w:tcPr>
          <w:p/>
        </w:tc>
        <w:tc>
          <w:tcPr>
            <w:tcW w:w="12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5.3组织的岗位、职责和权限、6.2质量目标、7.1资源、7.1.2人员、7.1.3基础设施、7.1.4过程运行环境、7.1.5监视测量装置、7.1.6组织知识、7.2能力、7.3意识、7.5成文信息、9.1.1监视、测量、分析和评价总则、9.1.3分析与评价、9.2内部审核、10.2不合格和纠正措施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5.3组织的岗位、职责和权限、6.2目标及其实现的策划、6.1.2环境因素/危险源的识别与评价、6.1.4措施的策划、6.1.3合规义务、9.1.2合规性评价、7.1资源、7.2能力、7.3意识、7.5成文信息、8.1运行策划和控制、8.2应急准备和响应、9.1.1监视、测量、分析和评价总则、9.2内部审核、10.2不符合/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行政部现有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，主任</w:t>
            </w:r>
            <w:r>
              <w:rPr>
                <w:rFonts w:hint="eastAsia" w:hAnsi="宋体"/>
                <w:szCs w:val="21"/>
                <w:lang w:val="en-US" w:eastAsia="zh-CN"/>
              </w:rPr>
              <w:t>1人，内勤1人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主要负责：质量环境安全目标方案的制定实施，办公用品的管理，信息交流与沟通，人力资源管理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后勤事务管理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文件记录的管理控制；环境因素和危险源进行识别和控制；体系运行检查、内审；进行法律法规收集及合规性评价；应急准备和相应控制，不符合纠正与预防，事故事件调查处理等。</w:t>
            </w:r>
          </w:p>
        </w:tc>
        <w:tc>
          <w:tcPr>
            <w:tcW w:w="158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查见“目标分解考核表”，显示对各部门进行了目标分解，并制定实施措施，行政部目标：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文件受控率达100%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培训合格率达100%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火灾、触电事故为0、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测量设备检定校准率100%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保留“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”，每月考核，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7-9月</w:t>
            </w:r>
            <w:r>
              <w:rPr>
                <w:rFonts w:hint="default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目标均已完成。</w:t>
            </w:r>
          </w:p>
        </w:tc>
        <w:tc>
          <w:tcPr>
            <w:tcW w:w="158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Q:7.1.3</w:t>
            </w:r>
          </w:p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查见“设备台帐”，登记有电脑、打印机等，以及各类办公家具若干；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介绍说，公司人员较稳定，电脑没有新增购置，也没有报废；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介绍说，设备维护主要是电脑杀毒、升级和备份；介绍说，杀毒和升级由员工自主完成；记录由电脑自动生成。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介绍说，电脑出现故障时，由电脑供应商提供售后服务，一般报修通过电话进行，故障排除后通过试运行进行验收。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未保留报修和验收记录，交流。基本符合。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观察，办公面积约270平方米，分区设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置，配置的办公桌符合人机工程要求，干净整洁，照明、通风良好；配置有空调，温度适宜；按要求设置有安全消防设施；有少量绿植；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员工关系和谐，墙面张贴有文化宣传活动的资料，与销售人员交流时，情绪愉快。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监视和测量资源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查见“监视和测量控制程序”，有效文件；</w:t>
            </w:r>
            <w:bookmarkStart w:id="3" w:name="_GoBack"/>
            <w:bookmarkEnd w:id="3"/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查见“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测量设备台帐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”，登记有</w:t>
            </w:r>
            <w:r>
              <w:rPr>
                <w:rFonts w:hint="eastAsia"/>
                <w:highlight w:val="none"/>
                <w:lang w:val="en-US" w:eastAsia="zh-CN"/>
              </w:rPr>
              <w:t>：游标卡尺、钢卷尺等监测装置。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抽查见校准证书：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游标卡尺——广东中准检测有限公司出具，2022.9.30，结论合格；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钢卷尺——广东中准检测有限公司出具，2022.9.30，结论合格；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监测装置控制基本有效。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 xml:space="preserve">7.1.6 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从内部来源获取的有：研发人员以往多年的工作经验（员工过去所有的）根据顾客要求设计出满足顾客需求的系统网络技术及软件等；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资源</w:t>
            </w:r>
          </w:p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Q7.1.2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EO7.1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QEO7.2</w:t>
            </w:r>
          </w:p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7.3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编制执行《人力资源控制程序》等，规定了人力资源配备、培训计划与实施，考核与认可等予以规定。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公司现有人员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人，配置了适宜的人员：如管理人员、销售人员等；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抽见岗位人员任职要求与评价表，对人员能力的要求进行了策划和评价；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“202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年度培训计划”，培训内容涉及：管理手册、程序文件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环境、安全管理目标及方案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环境安全法律法规的培训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地方法律法规的培训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业务员在外安全事项的培训等。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培训记录及培训效果评价表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2022.5.28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2022.6.16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管理制度培训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2022.7.2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经现场讨论考核合格。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介绍说，公司销售人员没有特别的资质要求；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查公司用于安全和环保方面的费用约为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  <w:lang w:val="en-US" w:eastAsia="zh-CN"/>
              </w:rPr>
              <w:t>6.7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元，能保证质量、环境、职业健康安全工作的开展，确保资金及时投入。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询问员工能明确自身职责及各岗位要求，自身工作影响，人身安全意识等；能回答公司的方针及部门目标，并且能够意识到自己岗位对整个流程的重要性和偏离的后果。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QEO7.5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管理手册——A/0，实施日期：2022年05月10日；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程序文件——A/0，实施日期：2022年05月10日；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外来文件管理：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公司对外来文件及法律法规进行了收集、识别、控制。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《外来文件清单》，外来文件管理符合要求。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  <w:szCs w:val="21"/>
              </w:rPr>
              <w:t>QEO9.1.1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Q9.1.3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保留“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分解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考核表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，检查考核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已完成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查到《环境、安全检查记录》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，检查项目内容涉及：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办公/生活区域卫生是否清理干净，办公区域是否安全用电；消防设施是否完好；消防通道是否畅通等。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抽查202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6-9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检查结果均正常，检查人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王熙晏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对顾客满意进行了统计分析。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介绍说，本公司没有涉及职业病危害的工作岗位，提供健康体检表，抽见：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XX、杨XX——樟树市清江医院出具，2022.9.22，听力、心肺功能正常；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未有上级主管部门的监督检查。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公司能遵守相关的法律法规，没有违反环境、职业健康安全法律法规现象，近期没有发生环境与职业健康安全的事故。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经评价行政部的重要环境因素为：固废、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主要控制措施：办公危废交耗材公司，生活垃圾由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环卫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处理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活动和上下班途中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涉及行政部的危险源有插座质量差漏电造成的触电，烟头未及时熄灭或直接扔到纸篓中造成火灾，接线板负荷过重造成的火灾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、交通伤害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、交通伤害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主要控制措施：执行管理方案、配备消防器材、日常检查、培训教育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、购买保险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等运行控制措施等。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查见劳动合同与三级安全教育记录卡，抽见：杨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XX、聂XX，基本符合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张贴标识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行政部垃圾主要包含可回收垃圾、硒鼓、废纸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配置了垃圾箱，行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物业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和烟感喷淋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未设置安全通道的指示标识，督促现场整改；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不定期开展交通安全教育培训；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29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查见“环境和职业健康安全法律法规控制程序”，有效文件；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：适用法律法规清单及合规性评价记录，收集了环境保护和职业健康安全相关的法律法规以及条例、标准等138个，包含了：中华人民共和国环境保护法、中华人民共和国环境噪声污染防治法、中华人民共和国大气污染防治法、中华人民共和国水污染防治法、中华人民共和国职业病防治法、中华人民共和国消防法、中华人民共和国安全生产法等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查见“合规性评价报告”，2022.8.7，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公司进行了合规性评价，明确了评价范围和依据，评价结论：公司对适用的法律、法规均已遵守。公司未发生任何破坏环境的现象及安全事故现象；未发生任何顾客、周边居民因环境、安全事故而投诉的现象。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应急设施配置：在办公场所内配备了灭火器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、烟感喷淋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2022年7月1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《火灾应急救援预案演练记录》，参加人员各岗位人员；记录演练过程、急救措施等内容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9.2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2022年8月17-18日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内部审核结论：公司三体系运行基本良好，运行达到一定的效果，基本符合GB/T 19001-2016、GB/T24001-2016、GB/T45001-2020标准的要求，但仍存在不足，各部门应举一反三，对类似问题予以整改。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2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10.2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55A1F12"/>
    <w:rsid w:val="48754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4249</Words>
  <Characters>4568</Characters>
  <Lines>1</Lines>
  <Paragraphs>1</Paragraphs>
  <TotalTime>28</TotalTime>
  <ScaleCrop>false</ScaleCrop>
  <LinksUpToDate>false</LinksUpToDate>
  <CharactersWithSpaces>4617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2022-10-11T04:22:56Z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C69C1FC9505F477EBBF8ABBFD56A7C56</vt:lpwstr>
  </property>
  <property fmtid="{D5CDD505-2E9C-101B-9397-08002B2CF9AE}" pid="3" name="KSOProductBuildVer">
    <vt:lpwstr>2052-11.1.0.12358</vt:lpwstr>
  </property>
</Properties>
</file>