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"/>
        <w:gridCol w:w="938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vMerge w:val="restart"/>
            <w:shd w:val="clear" w:color="auto" w:fill="EBF1DE" w:themeFill="accent3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周戈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周文军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0" w:type="dxa"/>
            <w:gridSpan w:val="2"/>
            <w:shd w:val="clear" w:color="auto" w:fill="EBF1DE" w:themeFill="accent3" w:themeFillTint="3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22-10-17上午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0" w:type="dxa"/>
            <w:gridSpan w:val="2"/>
            <w:shd w:val="clear" w:color="auto" w:fill="EBF1DE" w:themeFill="accent3" w:themeFillTint="3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66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660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竞争基本稳定；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660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老板重视人员能力以及体系管理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本地品牌，市场人群认知度较高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中层管理人员的管理能力还需要提升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经营风险、客户投诉风险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6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新型产品开发、大健康食品的开发等</w:t>
                  </w:r>
                </w:p>
              </w:tc>
            </w:tr>
          </w:tbl>
          <w:p>
            <w:pPr>
              <w:pStyle w:val="6"/>
              <w:ind w:left="0" w:leftChars="0" w:firstLine="0" w:firstLineChars="0"/>
              <w:rPr>
                <w:color w:val="000000"/>
                <w:szCs w:val="21"/>
              </w:rPr>
            </w:pPr>
          </w:p>
          <w:p>
            <w:pPr>
              <w:pStyle w:val="6"/>
              <w:rPr>
                <w:rFonts w:hint="default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丽水市</w:t>
                  </w:r>
                  <w:r>
                    <w:rPr>
                      <w:rFonts w:hint="eastAsia"/>
                      <w:highlight w:val="none"/>
                    </w:rPr>
                    <w:t>市市场监督管理局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杭州嘉惠食品有限公司等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各门店及其消费者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审核周期内未发生变化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消费者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面包、蛋糕的生产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szCs w:val="21"/>
                    </w:rPr>
                    <w:t>位于</w:t>
                  </w:r>
                  <w:bookmarkEnd w:id="0"/>
                  <w:r>
                    <w:rPr>
                      <w:rFonts w:hint="eastAsia"/>
                      <w:szCs w:val="21"/>
                    </w:rPr>
                    <w:t>浙江省丽水市莲都区天宁工业区308幢的丽水市大拇指食品有限公司烘烤车间的面包、蛋糕的生产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 w:val="20"/>
                    </w:rPr>
                    <w:t>浙江省丽水市莲都区天宁工业区308幢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范围增加，不影响体系认证范围，已收集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sz w:val="20"/>
                    </w:rPr>
                    <w:t>浙江省丽水市莲都区天宁工业区308幢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SC证延续换证，未发生变化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体系建立以来，2021.</w:t>
                  </w:r>
                  <w:r>
                    <w:t>4.1</w:t>
                  </w:r>
                  <w:r>
                    <w:rPr>
                      <w:rFonts w:hint="eastAsia"/>
                    </w:rPr>
                    <w:t>（改版）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审核周期内未发生变化</w:t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rFonts w:hint="eastAsia"/>
                <w:b/>
                <w:bCs/>
              </w:rPr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审核周期内未发生变化</w:t>
            </w:r>
          </w:p>
          <w:p>
            <w:pPr>
              <w:widowControl/>
              <w:spacing w:before="40"/>
              <w:ind w:firstLine="422" w:firstLineChars="20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顾客为本 安全至上 品质至臻 追求卓越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管理手册第5.3条款和“0.4食品安全管理体系职能分配表”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生产部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采购部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行政办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/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马保保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先生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客户投诉风险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生产过程的严格管控；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人员培训提升食品安全意识；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加强对门店客户的管理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本地长保市场的开发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新建厂房；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新产品的开发</w:t>
                  </w:r>
                </w:p>
                <w:p>
                  <w:r>
                    <w:rPr>
                      <w:rFonts w:hint="eastAsia" w:ascii="宋体" w:hAnsi="宋体"/>
                      <w:szCs w:val="21"/>
                    </w:rPr>
                    <w:t>3、做好广告宣传，包括体系认证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5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风险与机遇识别评价一览表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F6.2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手册第6.2条款、《目标管理程序》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食品安全目标分解及考核统计表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  <w:highlight w:val="none"/>
              </w:rPr>
              <w:t>食品安全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 w:ascii="宋体" w:hAnsi="宋体"/>
                <w:szCs w:val="21"/>
                <w:highlight w:val="none"/>
              </w:rPr>
              <w:t>食品安全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 w:ascii="宋体" w:hAnsi="宋体"/>
                <w:szCs w:val="21"/>
                <w:highlight w:val="none"/>
              </w:rPr>
              <w:t>食品安全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38"/>
              <w:gridCol w:w="1555"/>
              <w:gridCol w:w="2212"/>
              <w:gridCol w:w="22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273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15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22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23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2021.08-2022.08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无重大食品安全事故发生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2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23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顾客满意率≥90%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21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顾客满意度调查</w:t>
                  </w:r>
                </w:p>
              </w:tc>
              <w:tc>
                <w:tcPr>
                  <w:tcW w:w="223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94.1%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顾客投诉处理率100%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2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已发出处理次数/总次数X100%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rPr>
                <w:rFonts w:ascii="宋体" w:hAnsi="宋体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0000FF"/>
                <w:u w:val="single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审核周期内未发生变化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 xml:space="preserve">建筑面积 </w:t>
            </w:r>
            <w:r>
              <w:rPr>
                <w:rFonts w:hint="eastAsia"/>
                <w:u w:val="single"/>
              </w:rPr>
              <w:t xml:space="preserve">3000 </w:t>
            </w:r>
            <w:r>
              <w:rPr>
                <w:rFonts w:hint="eastAsia"/>
              </w:rPr>
              <w:t>平方米；生产加工间</w:t>
            </w:r>
            <w:r>
              <w:rPr>
                <w:rFonts w:hint="eastAsia"/>
                <w:u w:val="single"/>
              </w:rPr>
              <w:t>1个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>含配料、搅拌间、面包间、蛋糕间、丹麦间、烘烤间、成型间、包装间、发货间等）</w:t>
            </w:r>
            <w:r>
              <w:rPr>
                <w:rFonts w:hint="eastAsia"/>
              </w:rPr>
              <w:t>；设置有</w:t>
            </w:r>
            <w:r>
              <w:rPr>
                <w:rFonts w:hint="eastAsia"/>
                <w:i w:val="0"/>
                <w:iCs w:val="0"/>
                <w:u w:val="single"/>
              </w:rPr>
              <w:t>3个仓库，冷库1个冷藏库1个</w:t>
            </w:r>
            <w:r>
              <w:rPr>
                <w:rFonts w:hint="eastAsia"/>
                <w:i w:val="0"/>
                <w:iCs w:val="0"/>
                <w:u w:val="single"/>
                <w:lang w:val="en-US" w:eastAsia="zh-CN"/>
              </w:rPr>
              <w:t>常温库1个</w:t>
            </w:r>
            <w:r>
              <w:rPr>
                <w:rFonts w:hint="eastAsia"/>
              </w:rPr>
              <w:t>；化验室 1 个；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搅拌机、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和面机、</w:t>
            </w:r>
            <w:r>
              <w:rPr>
                <w:rFonts w:hint="eastAsia"/>
                <w:szCs w:val="21"/>
                <w:u w:val="single"/>
              </w:rPr>
              <w:t>烤箱、烤炉、配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6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color w:val="000000"/>
                      <w:szCs w:val="21"/>
                    </w:rPr>
                    <w:t>5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60</w:t>
                  </w:r>
                </w:p>
              </w:tc>
            </w:tr>
          </w:tbl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审核周期内未发生较大变化。</w:t>
            </w:r>
          </w:p>
          <w:p>
            <w:pPr>
              <w:pStyle w:val="6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r>
                    <w:rPr>
                      <w:rFonts w:hint="eastAsia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</w:t>
                  </w:r>
                </w:p>
                <w:p>
                  <w:pPr>
                    <w:pStyle w:val="6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水质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产品：每半年</w:t>
                  </w:r>
                </w:p>
                <w:p>
                  <w:pPr>
                    <w:pStyle w:val="6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生产加工用水：每年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</w:t>
                  </w:r>
                  <w:r>
                    <w:rPr>
                      <w:rFonts w:hint="eastAsia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GB5749-2006</w:t>
                  </w:r>
                </w:p>
                <w:p>
                  <w:pPr>
                    <w:pStyle w:val="6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GB7099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每半年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r>
                    <w:rPr>
                      <w:rFonts w:hint="eastAsia"/>
                    </w:rPr>
                    <w:t>现场巡视</w:t>
                  </w:r>
                </w:p>
                <w:p>
                  <w:r>
                    <w:rPr>
                      <w:rFonts w:hint="eastAsia"/>
                    </w:rPr>
                    <w:t>抽查记录</w:t>
                  </w:r>
                </w:p>
                <w:p>
                  <w:r>
                    <w:rPr>
                      <w:rFonts w:hint="eastAsia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定期检查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抽查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t>☑</w:t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每季度 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r>
                    <w:rPr>
                      <w:rFonts w:hint="eastAsia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按年度内审计划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6"/>
                    <w:ind w:left="0" w:leftChars="0" w:firstLine="0" w:firstLine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内审控制程序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r>
                    <w:rPr>
                      <w:rFonts w:hint="eastAsia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6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《管理评审》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r>
                    <w:rPr>
                      <w:rFonts w:hint="eastAsia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内审评审实施见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F9.2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行政办审核记录</w:t>
            </w:r>
          </w:p>
          <w:p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管理评审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实施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见F9.3条款审核记录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查看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7"/>
              <w:gridCol w:w="2126"/>
              <w:gridCol w:w="2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管理评审输入信息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评价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以往管理评审所采取措施的情况；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szCs w:val="21"/>
                      <w:highlight w:val="none"/>
                    </w:rPr>
                    <w:t>组织所处形势的变化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  <w:highlight w:val="none"/>
                    </w:rPr>
                    <w:t>发生的紧急情况、事故或撤回；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监视和测量结果及趋势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审核结果（内部和外部） 包括执法检查结果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  <w:highlight w:val="none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实现食品安全管理体系目标的程度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外部供方绩效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  <w:highlight w:val="none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资源的充分性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7" w:type="dxa"/>
                </w:tcPr>
                <w:p>
                  <w:pPr>
                    <w:widowControl/>
                    <w:spacing w:before="4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color w:val="000000"/>
                      <w:szCs w:val="21"/>
                      <w:highlight w:val="none"/>
                    </w:rPr>
                    <w:t>为应对风险和机遇所采取措施的有效性</w:t>
                  </w:r>
                </w:p>
              </w:tc>
              <w:tc>
                <w:tcPr>
                  <w:tcW w:w="212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☑符合 □不符合</w:t>
                  </w: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满足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□</w:t>
            </w:r>
            <w:r>
              <w:rPr>
                <w:rFonts w:hint="eastAsia"/>
                <w:highlight w:val="none"/>
              </w:rPr>
              <w:t>不满足，说明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不断与实际去结合完成现有的优化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改进措施未落实的原因：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计划2022年底前完成</w:t>
            </w:r>
            <w:r>
              <w:rPr>
                <w:rFonts w:hint="eastAsia"/>
                <w:highlight w:val="none"/>
                <w:u w:val="single"/>
              </w:rPr>
              <w:t xml:space="preserve">              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63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0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6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改进措施未落实的原因：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计划2022年底前完成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gridSpan w:val="2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38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1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85" w:type="dxa"/>
            <w:gridSpan w:val="2"/>
            <w:vMerge w:val="continue"/>
            <w:shd w:val="clear" w:color="auto" w:fill="EBF1DE" w:themeFill="accent3" w:themeFillTint="32"/>
          </w:tcPr>
          <w:p/>
        </w:tc>
        <w:tc>
          <w:tcPr>
            <w:tcW w:w="938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rFonts w:hint="eastAsia"/>
                <w:u w:val="single"/>
                <w:lang w:val="en-US" w:eastAsia="zh-CN"/>
              </w:rPr>
              <w:t>审核周期内未发生更新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shd w:val="clear" w:color="auto" w:fill="EBF1DE" w:themeFill="accent3" w:themeFillTint="32"/>
          </w:tcPr>
          <w:p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960" w:type="dxa"/>
            <w:gridSpan w:val="2"/>
            <w:shd w:val="clear" w:color="auto" w:fill="EBF1DE" w:themeFill="accent3" w:themeFillTint="32"/>
          </w:tcPr>
          <w:p/>
        </w:tc>
        <w:tc>
          <w:tcPr>
            <w:tcW w:w="745" w:type="dxa"/>
            <w:shd w:val="clear" w:color="auto" w:fill="EBF1DE" w:themeFill="accent3" w:themeFillTint="32"/>
          </w:tcPr>
          <w:p>
            <w:pPr>
              <w:rPr>
                <w:rFonts w:hint="eastAsia"/>
              </w:rPr>
            </w:pPr>
          </w:p>
        </w:tc>
        <w:tc>
          <w:tcPr>
            <w:tcW w:w="9255" w:type="dxa"/>
            <w:shd w:val="clear" w:color="auto" w:fill="EBF1DE" w:themeFill="accent3" w:themeFillTint="32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资质信息情况：营业执照、食品生产许可证延续换新证，已收集，见变更单；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认证证书、标志的使用情况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：客户检查使用，未做他用，未发生投诉等；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标准/规范/法规的执行情况：相关负责人表示：在生产经营过程中按照适用的法律法规执行；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投诉或事故、监督抽查情况：发生过顾客反馈情况，但未发生重大的质量和安全事故，未发生监管部门抽查不合格的情况；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体系变动：相关负责人表示，未发生较大的体系变化。</w:t>
            </w:r>
          </w:p>
          <w:p>
            <w:pPr>
              <w:pStyle w:val="2"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初审不符合项验证：2个不符合项，验证已关闭。</w:t>
            </w:r>
          </w:p>
        </w:tc>
        <w:tc>
          <w:tcPr>
            <w:tcW w:w="1591" w:type="dxa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-10160</wp:posOffset>
          </wp:positionV>
          <wp:extent cx="395605" cy="398780"/>
          <wp:effectExtent l="0" t="0" r="4445" b="127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4548F"/>
    <w:multiLevelType w:val="singleLevel"/>
    <w:tmpl w:val="BBC454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C3FF6E"/>
    <w:multiLevelType w:val="singleLevel"/>
    <w:tmpl w:val="C8C3FF6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17DB9B67"/>
    <w:multiLevelType w:val="singleLevel"/>
    <w:tmpl w:val="17DB9B6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975E3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B0FD8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3C2CF7"/>
    <w:rsid w:val="003F6628"/>
    <w:rsid w:val="00410914"/>
    <w:rsid w:val="0042042C"/>
    <w:rsid w:val="0043306E"/>
    <w:rsid w:val="00454842"/>
    <w:rsid w:val="00477A20"/>
    <w:rsid w:val="0048201E"/>
    <w:rsid w:val="0048635A"/>
    <w:rsid w:val="0049215F"/>
    <w:rsid w:val="004B2B8D"/>
    <w:rsid w:val="004D161C"/>
    <w:rsid w:val="004E4DC2"/>
    <w:rsid w:val="004E753A"/>
    <w:rsid w:val="005203B8"/>
    <w:rsid w:val="00531A59"/>
    <w:rsid w:val="00536930"/>
    <w:rsid w:val="00542263"/>
    <w:rsid w:val="00546B47"/>
    <w:rsid w:val="00564E53"/>
    <w:rsid w:val="00571451"/>
    <w:rsid w:val="00593F84"/>
    <w:rsid w:val="005B7968"/>
    <w:rsid w:val="005C6B53"/>
    <w:rsid w:val="005D5659"/>
    <w:rsid w:val="005E2DC1"/>
    <w:rsid w:val="005F0777"/>
    <w:rsid w:val="005F098B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24B02"/>
    <w:rsid w:val="00770994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80E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10AC3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232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115FA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537D0E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21A09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4EF01FF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2F27CEC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05367A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491720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36DFE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1366</Words>
  <Characters>7787</Characters>
  <Lines>64</Lines>
  <Paragraphs>18</Paragraphs>
  <TotalTime>0</TotalTime>
  <ScaleCrop>false</ScaleCrop>
  <LinksUpToDate>false</LinksUpToDate>
  <CharactersWithSpaces>9135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2022-10-22T13:38:55Z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57973854B74B42A685632860C9E58515</vt:lpwstr>
  </property>
</Properties>
</file>