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0688-2020-Q-2022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德阳中大电力成套设备制造有限公司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2" w:name="组织名称Add1"/>
            <w:r>
              <w:t>德阳中大电力成套设备制造有限公司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3" w:name="注册地址"/>
            <w:r>
              <w:t>四川省德阳市旌阳区天元镇九龙江路66号</w:t>
            </w:r>
            <w:bookmarkEnd w:id="3"/>
          </w:p>
        </w:tc>
        <w:tc>
          <w:tcPr>
            <w:tcW w:w="1242" w:type="dxa"/>
            <w:vMerge w:val="restart"/>
            <w:vAlign w:val="center"/>
          </w:tcPr>
          <w:p>
            <w:r>
              <w:rPr>
                <w:rFonts w:hint="eastAsia"/>
              </w:rPr>
              <w:t>邮编</w:t>
            </w:r>
          </w:p>
        </w:tc>
        <w:tc>
          <w:tcPr>
            <w:tcW w:w="1771" w:type="dxa"/>
          </w:tcPr>
          <w:p>
            <w:bookmarkStart w:id="4" w:name="注册邮编"/>
            <w:r>
              <w:t>618019</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5" w:name="生产地址"/>
            <w:r>
              <w:t>四川省德阳市旌阳区天元镇九龙江路66号</w:t>
            </w:r>
            <w:bookmarkEnd w:id="5"/>
          </w:p>
        </w:tc>
        <w:tc>
          <w:tcPr>
            <w:tcW w:w="1242" w:type="dxa"/>
            <w:vMerge w:val="continue"/>
            <w:vAlign w:val="center"/>
          </w:tcPr>
          <w:p/>
        </w:tc>
        <w:tc>
          <w:tcPr>
            <w:tcW w:w="1771" w:type="dxa"/>
          </w:tcPr>
          <w:p>
            <w:bookmarkStart w:id="6" w:name="办公邮编"/>
            <w:r>
              <w:t>618019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7" w:name="联系人"/>
            <w:r>
              <w:t>郭伟</w:t>
            </w:r>
            <w:bookmarkEnd w:id="7"/>
          </w:p>
        </w:tc>
        <w:tc>
          <w:tcPr>
            <w:tcW w:w="1313" w:type="dxa"/>
            <w:vAlign w:val="center"/>
          </w:tcPr>
          <w:p>
            <w:r>
              <w:rPr>
                <w:rFonts w:hint="eastAsia"/>
              </w:rPr>
              <w:t>电话.</w:t>
            </w:r>
          </w:p>
        </w:tc>
        <w:tc>
          <w:tcPr>
            <w:tcW w:w="2180" w:type="dxa"/>
            <w:vAlign w:val="center"/>
          </w:tcPr>
          <w:p>
            <w:bookmarkStart w:id="8" w:name="联系人电话"/>
            <w:r>
              <w:t>0838-2233213</w:t>
            </w:r>
            <w:bookmarkEnd w:id="8"/>
          </w:p>
        </w:tc>
        <w:tc>
          <w:tcPr>
            <w:tcW w:w="1242" w:type="dxa"/>
            <w:vAlign w:val="center"/>
          </w:tcPr>
          <w:p>
            <w:r>
              <w:rPr>
                <w:rFonts w:hint="eastAsia"/>
              </w:rPr>
              <w:t>传真</w:t>
            </w:r>
          </w:p>
        </w:tc>
        <w:tc>
          <w:tcPr>
            <w:tcW w:w="1771" w:type="dxa"/>
          </w:tcPr>
          <w:p>
            <w:bookmarkStart w:id="9" w:name="联系人传真"/>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0" w:name="法人"/>
            <w:r>
              <w:t>唐瑞雪</w:t>
            </w:r>
            <w:bookmarkEnd w:id="10"/>
          </w:p>
        </w:tc>
        <w:tc>
          <w:tcPr>
            <w:tcW w:w="1313" w:type="dxa"/>
            <w:vAlign w:val="center"/>
          </w:tcPr>
          <w:p>
            <w:r>
              <w:rPr>
                <w:rFonts w:hint="eastAsia"/>
              </w:rPr>
              <w:t>管理者代表</w:t>
            </w:r>
          </w:p>
        </w:tc>
        <w:tc>
          <w:tcPr>
            <w:tcW w:w="2180" w:type="dxa"/>
          </w:tcPr>
          <w:p>
            <w:bookmarkStart w:id="11" w:name="管理者代表"/>
            <w:r>
              <w:t>韩成蓉</w:t>
            </w:r>
            <w:bookmarkEnd w:id="11"/>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宋体" w:hAnsi="宋体"/>
                <w:szCs w:val="21"/>
              </w:rPr>
            </w:pPr>
            <w:r>
              <w:rPr>
                <w:rFonts w:hint="eastAsia" w:ascii="宋体" w:hAnsi="宋体"/>
                <w:szCs w:val="21"/>
              </w:rPr>
              <w:t>一般机械加工工艺流程：</w:t>
            </w:r>
          </w:p>
          <w:p>
            <w:r>
              <w:rPr>
                <w:rFonts w:hint="eastAsia" w:ascii="宋体" w:hAnsi="宋体"/>
                <w:szCs w:val="21"/>
              </w:rPr>
              <w:t>来料接件-----检验----机械加工（车、铣、钻等）-----焊接----检验---入库。</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2" w:name="审核日期"/>
            <w:r>
              <w:rPr>
                <w:rFonts w:hint="eastAsia"/>
              </w:rPr>
              <w:t>2022年09月2</w:t>
            </w:r>
            <w:r>
              <w:rPr>
                <w:rFonts w:hint="eastAsia"/>
                <w:lang w:val="en-US" w:eastAsia="zh-CN"/>
              </w:rPr>
              <w:t>7</w:t>
            </w:r>
            <w:r>
              <w:rPr>
                <w:rFonts w:hint="eastAsia"/>
              </w:rPr>
              <w:t>日 上午至2022年09月2</w:t>
            </w:r>
            <w:r>
              <w:rPr>
                <w:rFonts w:hint="eastAsia"/>
                <w:lang w:val="en-US" w:eastAsia="zh-CN"/>
              </w:rPr>
              <w:t>7</w:t>
            </w:r>
            <w:r>
              <w:rPr>
                <w:rFonts w:hint="eastAsia"/>
              </w:rPr>
              <w:t>日 下午</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3" w:name="初审"/>
            <w:r>
              <w:rPr>
                <w:rFonts w:hint="eastAsia"/>
              </w:rPr>
              <w:t>□</w:t>
            </w:r>
            <w:bookmarkEnd w:id="13"/>
            <w:r>
              <w:rPr>
                <w:rFonts w:hint="eastAsia"/>
              </w:rPr>
              <w:t>初审二阶段：评价组织管理体系建立、实施运行的符合性及有效性，以确定是否推荐认证注册。</w:t>
            </w:r>
          </w:p>
          <w:p>
            <w:r>
              <w:rPr>
                <w:rFonts w:hint="eastAsia"/>
                <w:lang w:eastAsia="zh-CN"/>
              </w:rPr>
              <w:t>☑</w:t>
            </w:r>
            <w:r>
              <w:rPr>
                <w:rFonts w:hint="eastAsia"/>
              </w:rPr>
              <w:t>监督审核：评价组织管理体系的持续符合性和有效性，以确定是否推荐保持认证证书。</w:t>
            </w:r>
          </w:p>
          <w:p>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6" w:name="QJ勾选Add1"/>
            <w:r>
              <w:rPr>
                <w:rFonts w:hint="eastAsia"/>
                <w:lang w:val="de-DE"/>
              </w:rPr>
              <w:t>□</w:t>
            </w:r>
            <w:bookmarkEnd w:id="16"/>
            <w:r>
              <w:rPr>
                <w:rFonts w:hint="eastAsia"/>
                <w:lang w:val="de-DE"/>
              </w:rPr>
              <w:t>GB/T 50430-2017</w:t>
            </w:r>
          </w:p>
          <w:p>
            <w:pPr>
              <w:rPr>
                <w:lang w:val="de-DE"/>
              </w:rPr>
            </w:pPr>
            <w:r>
              <w:rPr>
                <w:rFonts w:hint="eastAsia"/>
                <w:lang w:val="de-DE" w:eastAsia="zh-CN"/>
              </w:rPr>
              <w:t>☑</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eastAsia="zh-CN"/>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7" w:name="二阶段勾选"/>
            <w:r>
              <w:rPr>
                <w:rFonts w:hint="eastAsia"/>
              </w:rPr>
              <w:t>□</w:t>
            </w:r>
            <w:bookmarkEnd w:id="17"/>
            <w:r>
              <w:rPr>
                <w:rFonts w:hint="eastAsia"/>
              </w:rPr>
              <w:t>初审二阶段</w:t>
            </w:r>
            <w:r>
              <w:rPr>
                <w:rFonts w:hint="eastAsia"/>
                <w:lang w:eastAsia="zh-CN"/>
              </w:rPr>
              <w:t>☑</w:t>
            </w:r>
            <w:r>
              <w:rPr>
                <w:rFonts w:hint="eastAsia"/>
              </w:rPr>
              <w:t>监督第</w:t>
            </w:r>
            <w:bookmarkStart w:id="18" w:name="监督次数"/>
            <w:r>
              <w:rPr>
                <w:rFonts w:hint="eastAsia"/>
              </w:rPr>
              <w:t>二</w:t>
            </w:r>
            <w:bookmarkEnd w:id="18"/>
            <w:r>
              <w:rPr>
                <w:rFonts w:hint="eastAsia"/>
              </w:rPr>
              <w:t>次监督审核</w:t>
            </w:r>
            <w:bookmarkStart w:id="19" w:name="再认证勾选"/>
            <w:r>
              <w:rPr>
                <w:rFonts w:hint="eastAsia"/>
              </w:rPr>
              <w:t>□</w:t>
            </w:r>
            <w:bookmarkEnd w:id="19"/>
            <w:r>
              <w:rPr>
                <w:rFonts w:hint="eastAsia"/>
              </w:rPr>
              <w:t>再认证</w:t>
            </w:r>
            <w:bookmarkStart w:id="20" w:name="扩项勾选Add1"/>
            <w:r>
              <w:rPr>
                <w:rFonts w:hint="eastAsia"/>
              </w:rPr>
              <w:t>□</w:t>
            </w:r>
            <w:bookmarkEnd w:id="20"/>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1" w:name="审核范围"/>
            <w:r>
              <w:t>Q：一般机械加工</w:t>
            </w:r>
          </w:p>
          <w:p>
            <w:r>
              <w:t>E：一般机械加工所涉及场所的相关环境管理活动</w:t>
            </w:r>
          </w:p>
          <w:p>
            <w:r>
              <w:t>O：一般机械加工所涉及场所的相关职业健康安全管理活动</w:t>
            </w:r>
            <w:bookmarkEnd w:id="21"/>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2" w:name="专业代码"/>
            <w:r>
              <w:t>Q：17.10.02</w:t>
            </w:r>
          </w:p>
          <w:p>
            <w:r>
              <w:t>E：17.10.02</w:t>
            </w:r>
          </w:p>
          <w:p>
            <w:r>
              <w:t>O：17.10.02</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2020年5月10日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2021年10月12日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rPr>
            </w:pPr>
            <w:r>
              <w:rPr>
                <w:rFonts w:hint="eastAsia"/>
              </w:rPr>
              <w:t>Q有效至2023年12月29日</w:t>
            </w:r>
          </w:p>
          <w:p>
            <w:r>
              <w:rPr>
                <w:rFonts w:hint="eastAsia"/>
              </w:rPr>
              <w:t>EO有效至2024年01月07日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89"/>
        <w:gridCol w:w="188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589" w:type="dxa"/>
            <w:shd w:val="clear" w:color="auto" w:fill="F3F3F3"/>
            <w:tcMar>
              <w:left w:w="57" w:type="dxa"/>
              <w:right w:w="57" w:type="dxa"/>
            </w:tcMar>
          </w:tcPr>
          <w:p>
            <w:r>
              <w:rPr>
                <w:rFonts w:hint="eastAsia"/>
              </w:rPr>
              <w:t>审核范围（产品和过程）</w:t>
            </w:r>
          </w:p>
          <w:p/>
          <w:p/>
        </w:tc>
        <w:tc>
          <w:tcPr>
            <w:tcW w:w="188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Cs w:val="21"/>
              </w:rPr>
              <w:t>德阳中大电力成套设备制造有限公司</w:t>
            </w:r>
            <w:r>
              <w:rPr>
                <w:rFonts w:hint="eastAsia"/>
                <w:szCs w:val="21"/>
              </w:rPr>
              <w:t>/</w:t>
            </w:r>
            <w:r>
              <w:rPr>
                <w:rFonts w:asciiTheme="minorEastAsia" w:hAnsiTheme="minorEastAsia" w:eastAsiaTheme="minorEastAsia"/>
                <w:sz w:val="20"/>
              </w:rPr>
              <w:t>四川省德阳市旌阳区天元镇九龙江路66号</w:t>
            </w:r>
          </w:p>
        </w:tc>
        <w:tc>
          <w:tcPr>
            <w:tcW w:w="2267" w:type="dxa"/>
            <w:vAlign w:val="top"/>
          </w:tcPr>
          <w:p>
            <w:pPr>
              <w:rPr>
                <w:lang w:val="de-DE" w:eastAsia="ja-JP"/>
              </w:rPr>
            </w:pPr>
            <w:r>
              <w:rPr>
                <w:rFonts w:asciiTheme="minorEastAsia" w:hAnsiTheme="minorEastAsia" w:eastAsiaTheme="minorEastAsia"/>
                <w:sz w:val="20"/>
              </w:rPr>
              <w:t>四川省德阳市旌阳区天元镇九龙江路66号</w:t>
            </w:r>
          </w:p>
        </w:tc>
        <w:tc>
          <w:tcPr>
            <w:tcW w:w="571" w:type="dxa"/>
            <w:vAlign w:val="center"/>
          </w:tcPr>
          <w:p>
            <w:pPr>
              <w:rPr>
                <w:rFonts w:cs="Times New Roman" w:asciiTheme="minorEastAsia" w:hAnsiTheme="minorEastAsia" w:eastAsiaTheme="minorEastAsia"/>
                <w:sz w:val="20"/>
                <w:lang w:eastAsia="ja-JP"/>
              </w:rPr>
            </w:pPr>
            <w:r>
              <w:rPr>
                <w:rFonts w:hint="eastAsia" w:cs="Times New Roman" w:asciiTheme="minorEastAsia" w:hAnsiTheme="minorEastAsia" w:eastAsiaTheme="minorEastAsia"/>
                <w:sz w:val="20"/>
              </w:rPr>
              <w:t>25</w:t>
            </w:r>
          </w:p>
        </w:tc>
        <w:tc>
          <w:tcPr>
            <w:tcW w:w="1589" w:type="dxa"/>
            <w:vAlign w:val="center"/>
          </w:tcPr>
          <w:p>
            <w:pPr>
              <w:rPr>
                <w:rFonts w:cs="Times New Roman" w:asciiTheme="minorEastAsia" w:hAnsiTheme="minorEastAsia" w:eastAsiaTheme="minorEastAsia"/>
                <w:sz w:val="20"/>
                <w:lang w:eastAsia="ja-JP"/>
              </w:rPr>
            </w:pPr>
            <w:r>
              <w:rPr>
                <w:rFonts w:cs="Times New Roman" w:asciiTheme="minorEastAsia" w:hAnsiTheme="minorEastAsia" w:eastAsiaTheme="minorEastAsia"/>
                <w:sz w:val="20"/>
              </w:rPr>
              <w:t>一般机械加工</w:t>
            </w:r>
          </w:p>
        </w:tc>
        <w:tc>
          <w:tcPr>
            <w:tcW w:w="1883" w:type="dxa"/>
            <w:vAlign w:val="center"/>
          </w:tcPr>
          <w:p>
            <w:pPr>
              <w:rPr>
                <w:rFonts w:hint="eastAsia" w:ascii="宋体" w:hAnsi="宋体"/>
                <w:bCs/>
                <w:sz w:val="18"/>
                <w:szCs w:val="18"/>
              </w:rPr>
            </w:pPr>
            <w:r>
              <w:rPr>
                <w:rFonts w:hint="eastAsia" w:ascii="宋体" w:hAnsi="宋体"/>
                <w:bCs/>
                <w:sz w:val="18"/>
                <w:szCs w:val="18"/>
              </w:rPr>
              <w:t>GB/T19001-2016</w:t>
            </w:r>
          </w:p>
          <w:p>
            <w:pPr>
              <w:rPr>
                <w:rFonts w:hint="eastAsia" w:ascii="宋体" w:hAnsi="宋体"/>
                <w:bCs/>
                <w:sz w:val="18"/>
                <w:szCs w:val="18"/>
              </w:rPr>
            </w:pPr>
            <w:r>
              <w:rPr>
                <w:rFonts w:hint="eastAsia" w:ascii="宋体" w:hAnsi="宋体"/>
                <w:bCs/>
                <w:sz w:val="18"/>
                <w:szCs w:val="18"/>
              </w:rPr>
              <w:t>GB/T45001-2020</w:t>
            </w:r>
          </w:p>
          <w:p>
            <w:pPr>
              <w:rPr>
                <w:lang w:eastAsia="ja-JP"/>
              </w:rPr>
            </w:pPr>
            <w:r>
              <w:rPr>
                <w:rFonts w:hint="eastAsia" w:ascii="宋体" w:hAnsi="宋体"/>
                <w:bCs/>
                <w:sz w:val="18"/>
                <w:szCs w:val="18"/>
              </w:rPr>
              <w:t>GB/T24001-2016</w:t>
            </w:r>
          </w:p>
        </w:tc>
        <w:tc>
          <w:tcPr>
            <w:tcW w:w="668" w:type="dxa"/>
            <w:shd w:val="clear" w:color="auto" w:fill="FFFFFF"/>
            <w:vAlign w:val="top"/>
          </w:tcPr>
          <w:p>
            <w:pPr>
              <w:rPr>
                <w:rFonts w:hint="eastAsia" w:eastAsia="宋体"/>
                <w:lang w:eastAsia="zh-CN"/>
              </w:rPr>
            </w:pPr>
            <w:r>
              <w:rPr>
                <w:rFonts w:hint="eastAsia" w:ascii="黑体" w:hAnsi="黑体" w:eastAsia="黑体" w:cs="黑体"/>
                <w:lang w:eastAsia="zh-CN"/>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Q:17.10.02</w:t>
            </w:r>
          </w:p>
          <w:p>
            <w:r>
              <w:t>E:17.10.02</w:t>
            </w:r>
          </w:p>
          <w:p>
            <w:r>
              <w:t>O:17.10.02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本次为监督审核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eastAsia="zh-CN"/>
              </w:rPr>
              <w:t>上次不符合为</w:t>
            </w:r>
            <w:r>
              <w:rPr>
                <w:rFonts w:hint="eastAsia"/>
                <w:lang w:val="en-US" w:eastAsia="zh-CN"/>
              </w:rPr>
              <w:t>Q8.6，本次审核无类似情况发生。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top"/>
          </w:tcPr>
          <w:p>
            <w:r>
              <w:rPr>
                <w:sz w:val="20"/>
              </w:rPr>
              <w:t>一般机械加工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r>
              <w:rPr>
                <w:sz w:val="20"/>
              </w:rPr>
              <w:t>一般机械加工所涉及场所的相关环境管理活动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r>
              <w:rPr>
                <w:sz w:val="20"/>
              </w:rPr>
              <w:t>一般机械加工所涉及场所的相关职业健康安全管理活动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407670</wp:posOffset>
                  </wp:positionH>
                  <wp:positionV relativeFrom="paragraph">
                    <wp:posOffset>46355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2022.9.27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w:t>
            </w:r>
            <w:r>
              <w:rPr>
                <w:rFonts w:hint="eastAsia"/>
                <w:lang w:eastAsia="zh-CN"/>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最高管理者制定了文件化的管理体系方针：以服务快捷、加工优良、持续改进、满足顾客需求</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ascii="宋体" w:hAnsi="宋体" w:cs="宋体"/>
                      <w:color w:val="000000"/>
                    </w:rPr>
                    <w:t>竞争风险</w:t>
                  </w:r>
                </w:p>
              </w:tc>
              <w:tc>
                <w:tcPr>
                  <w:tcW w:w="3965" w:type="dxa"/>
                  <w:vAlign w:val="top"/>
                </w:tcPr>
                <w:p>
                  <w:pPr>
                    <w:shd w:val="clear" w:color="auto" w:fill="C7DAF1" w:themeFill="text2" w:themeFillTint="32"/>
                  </w:pPr>
                  <w:r>
                    <w:rPr>
                      <w:rFonts w:hint="eastAsia" w:ascii="宋体" w:hAnsi="宋体" w:cs="宋体"/>
                      <w:color w:val="000000"/>
                    </w:rPr>
                    <w:t>及时关注公司产品市场的情况，收集信息及时调整，保持公司产品的竞争力</w:t>
                  </w:r>
                </w:p>
              </w:tc>
              <w:tc>
                <w:tcPr>
                  <w:tcW w:w="1717" w:type="dxa"/>
                  <w:vAlign w:val="top"/>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ascii="宋体" w:hAnsi="宋体" w:cs="宋体"/>
                      <w:color w:val="000000"/>
                    </w:rPr>
                    <w:t>人力资源风险</w:t>
                  </w:r>
                </w:p>
              </w:tc>
              <w:tc>
                <w:tcPr>
                  <w:tcW w:w="3965" w:type="dxa"/>
                  <w:vAlign w:val="top"/>
                </w:tcPr>
                <w:p>
                  <w:pPr>
                    <w:shd w:val="clear" w:color="auto" w:fill="C7DAF1" w:themeFill="text2" w:themeFillTint="32"/>
                  </w:pPr>
                  <w:r>
                    <w:rPr>
                      <w:rFonts w:hint="eastAsia" w:ascii="宋体" w:hAnsi="宋体" w:cs="宋体"/>
                      <w:color w:val="000000"/>
                    </w:rPr>
                    <w:t>各部门应及时关注员工的心态变化，注意工作方式，创造良好的工作环境，提高员工的归属感</w:t>
                  </w:r>
                </w:p>
              </w:tc>
              <w:tc>
                <w:tcPr>
                  <w:tcW w:w="1717" w:type="dxa"/>
                  <w:vAlign w:val="top"/>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pPr>
                  <w:r>
                    <w:rPr>
                      <w:rFonts w:hint="eastAsia" w:ascii="宋体" w:hAnsi="宋体"/>
                    </w:rPr>
                    <w:t>成品一次交验合格率≥95%</w:t>
                  </w:r>
                </w:p>
              </w:tc>
              <w:tc>
                <w:tcPr>
                  <w:tcW w:w="3136" w:type="dxa"/>
                  <w:shd w:val="clear" w:color="auto" w:fill="auto"/>
                  <w:vAlign w:val="center"/>
                </w:tcPr>
                <w:p>
                  <w:pPr>
                    <w:shd w:val="clear" w:color="auto" w:fill="C7DAF1" w:themeFill="text2" w:themeFillTint="32"/>
                    <w:rPr>
                      <w:lang w:val="en-GB"/>
                    </w:rPr>
                  </w:pPr>
                  <w:r>
                    <w:rPr>
                      <w:rFonts w:hint="eastAsia" w:ascii="宋体" w:hAnsi="宋体"/>
                    </w:rPr>
                    <w:t>一次交验合格数/交验数×100%</w:t>
                  </w:r>
                </w:p>
              </w:tc>
              <w:tc>
                <w:tcPr>
                  <w:tcW w:w="1350" w:type="dxa"/>
                  <w:shd w:val="clear" w:color="auto" w:fill="auto"/>
                  <w:vAlign w:val="center"/>
                </w:tcPr>
                <w:p>
                  <w:pPr>
                    <w:shd w:val="clear" w:color="auto" w:fill="C7DAF1" w:themeFill="text2" w:themeFillTint="32"/>
                    <w:rPr>
                      <w:lang w:val="en-GB"/>
                    </w:rPr>
                  </w:pPr>
                  <w:r>
                    <w:rPr>
                      <w:rFonts w:hint="eastAsia" w:ascii="宋体" w:hAnsi="宋体"/>
                      <w:lang w:val="en-GB"/>
                    </w:rPr>
                    <w:t>生产部</w:t>
                  </w:r>
                </w:p>
              </w:tc>
              <w:tc>
                <w:tcPr>
                  <w:tcW w:w="1774" w:type="dxa"/>
                  <w:shd w:val="clear" w:color="auto" w:fill="auto"/>
                  <w:vAlign w:val="center"/>
                </w:tcPr>
                <w:p>
                  <w:pPr>
                    <w:shd w:val="clear" w:color="auto" w:fill="C7DAF1" w:themeFill="text2" w:themeFillTint="32"/>
                    <w:rPr>
                      <w:rFonts w:ascii="宋体" w:hAnsi="宋体"/>
                      <w:lang w:val="en-GB"/>
                    </w:rPr>
                  </w:pPr>
                  <w:r>
                    <w:rPr>
                      <w:rFonts w:hint="eastAsia" w:ascii="宋体" w:hAnsi="宋体"/>
                    </w:rPr>
                    <w:t>成品一次交验合格率99.</w:t>
                  </w:r>
                  <w:r>
                    <w:rPr>
                      <w:rFonts w:hint="eastAsia" w:ascii="宋体" w:hAnsi="宋体"/>
                      <w:lang w:val="en-US" w:eastAsia="zh-CN"/>
                    </w:rPr>
                    <w:t>5</w:t>
                  </w:r>
                  <w:r>
                    <w:rPr>
                      <w:rFonts w:hint="eastAsia" w:ascii="宋体" w:hAnsi="宋体"/>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pPr>
                  <w:r>
                    <w:rPr>
                      <w:rFonts w:hint="eastAsia" w:ascii="宋体" w:hAnsi="宋体"/>
                    </w:rPr>
                    <w:t>合同履约率100%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合同履约数/合同总数×100%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市场部</w:t>
                  </w:r>
                </w:p>
              </w:tc>
              <w:tc>
                <w:tcPr>
                  <w:tcW w:w="1774" w:type="dxa"/>
                  <w:shd w:val="clear" w:color="auto" w:fill="auto"/>
                  <w:vAlign w:val="center"/>
                </w:tcPr>
                <w:p>
                  <w:pPr>
                    <w:shd w:val="clear" w:color="auto" w:fill="C7DAF1" w:themeFill="text2" w:themeFillTint="32"/>
                    <w:rPr>
                      <w:rFonts w:ascii="宋体" w:hAnsi="宋体"/>
                    </w:rPr>
                  </w:pPr>
                  <w:r>
                    <w:rPr>
                      <w:rFonts w:hint="eastAsia" w:ascii="宋体" w:hAnsi="宋体"/>
                    </w:rPr>
                    <w:t>合同履约率100%。合格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C7DAF1" w:themeFill="text2" w:themeFillTint="32"/>
                    <w:rPr>
                      <w:rFonts w:ascii="宋体" w:hAnsi="宋体"/>
                    </w:rPr>
                  </w:pPr>
                  <w:r>
                    <w:rPr>
                      <w:rFonts w:hint="eastAsia" w:ascii="宋体" w:hAnsi="宋体"/>
                    </w:rPr>
                    <w:t>顾客满意率≥95%</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顾客满意率=∑n1+n2+n3+……+ni/n×100%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市场部</w:t>
                  </w:r>
                </w:p>
              </w:tc>
              <w:tc>
                <w:tcPr>
                  <w:tcW w:w="1774" w:type="dxa"/>
                  <w:shd w:val="clear" w:color="auto" w:fill="auto"/>
                  <w:vAlign w:val="center"/>
                </w:tcPr>
                <w:p>
                  <w:pPr>
                    <w:shd w:val="clear" w:color="auto" w:fill="C7DAF1" w:themeFill="text2" w:themeFillTint="32"/>
                    <w:rPr>
                      <w:rFonts w:ascii="宋体" w:hAnsi="宋体"/>
                    </w:rPr>
                  </w:pPr>
                  <w:r>
                    <w:rPr>
                      <w:rFonts w:hint="eastAsia" w:ascii="宋体" w:hAnsi="宋体"/>
                    </w:rPr>
                    <w:t>顾客满意率达到9</w:t>
                  </w:r>
                  <w:r>
                    <w:rPr>
                      <w:rFonts w:hint="eastAsia" w:ascii="宋体" w:hAnsi="宋体"/>
                      <w:lang w:val="en-US" w:eastAsia="zh-CN"/>
                    </w:rPr>
                    <w:t>6</w:t>
                  </w:r>
                  <w:r>
                    <w:rPr>
                      <w:rFonts w:hint="eastAsia" w:ascii="宋体" w:hAnsi="宋体"/>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eastAsia="zh-CN"/>
              </w:rPr>
              <w:t>建筑面积600平方米；生产车间1个；库房1个；实验室0个</w:t>
            </w:r>
            <w:r>
              <w:rPr>
                <w:rFonts w:hint="eastAsia"/>
              </w:rPr>
              <w:t>；</w:t>
            </w:r>
          </w:p>
          <w:p>
            <w:pPr>
              <w:shd w:val="clear" w:color="auto" w:fill="C7DAF1" w:themeFill="text2" w:themeFillTint="32"/>
              <w:rPr>
                <w:rFonts w:hint="eastAsia" w:eastAsia="宋体"/>
                <w:u w:val="single"/>
                <w:lang w:eastAsia="zh-CN"/>
              </w:rPr>
            </w:pPr>
            <w:r>
              <w:rPr>
                <w:rFonts w:hint="eastAsia"/>
                <w:lang w:eastAsia="zh-CN"/>
              </w:rPr>
              <w:t>主要生产设备有：</w:t>
            </w:r>
            <w:r>
              <w:rPr>
                <w:rFonts w:hint="eastAsia"/>
                <w:u w:val="single"/>
                <w:lang w:eastAsia="zh-CN"/>
              </w:rPr>
              <w:t>数控切割机、台式砂轮机、摇臂钻床、行车等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lang w:eastAsia="zh-CN"/>
              </w:rPr>
              <w:t>国家强检的计量器具有：（内径百分表、外径千分尺、游标卡尺、万能角度尺、安全阀、水准仪、压力真空表等）</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一般机械加工</w:t>
                  </w: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焊接</w:t>
                  </w:r>
                </w:p>
              </w:tc>
              <w:tc>
                <w:tcPr>
                  <w:tcW w:w="32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焊接温度，压力控制，无虚焊等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需要确认的过程：焊接，</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28-29</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49"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49"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49" w:type="dxa"/>
            <w:vAlign w:val="center"/>
          </w:tcPr>
          <w:p>
            <w:pPr>
              <w:shd w:val="clear" w:color="auto" w:fill="C7DAF1" w:themeFill="text2" w:themeFillTint="32"/>
              <w:rPr>
                <w:highlight w:val="none"/>
                <w:lang w:eastAsia="ja-JP"/>
              </w:rPr>
            </w:pPr>
            <w:r>
              <w:rPr>
                <w:rFonts w:hint="eastAsia"/>
                <w:highlight w:val="none"/>
              </w:rPr>
              <w:t>0</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49"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49" w:type="dxa"/>
            <w:tcBorders>
              <w:bottom w:val="single" w:color="auto" w:sz="4" w:space="0"/>
            </w:tcBorders>
            <w:vAlign w:val="center"/>
          </w:tcPr>
          <w:p>
            <w:pPr>
              <w:shd w:val="clear" w:color="auto" w:fill="C7DAF1" w:themeFill="text2" w:themeFillTint="32"/>
              <w:rPr>
                <w:highlight w:val="none"/>
                <w:lang w:eastAsia="ja-JP"/>
              </w:rPr>
            </w:pPr>
            <w:r>
              <w:rPr>
                <w:rFonts w:hint="eastAsia"/>
                <w:highlight w:val="none"/>
              </w:rPr>
              <w:t>0</w:t>
            </w:r>
          </w:p>
        </w:tc>
        <w:tc>
          <w:tcPr>
            <w:tcW w:w="650" w:type="dxa"/>
            <w:tcBorders>
              <w:bottom w:val="single" w:color="auto" w:sz="4" w:space="0"/>
            </w:tcBorders>
            <w:vAlign w:val="center"/>
          </w:tcPr>
          <w:p>
            <w:pPr>
              <w:shd w:val="clear" w:color="auto" w:fill="C7DAF1" w:themeFill="text2" w:themeFillTint="32"/>
              <w:rPr>
                <w:highlight w:val="none"/>
                <w:lang w:eastAsia="ja-JP"/>
              </w:rPr>
            </w:pPr>
            <w:r>
              <w:rPr>
                <w:rFonts w:hint="eastAsia"/>
                <w:highlight w:val="none"/>
              </w:rPr>
              <w:t>0</w:t>
            </w:r>
          </w:p>
        </w:tc>
        <w:tc>
          <w:tcPr>
            <w:tcW w:w="650" w:type="dxa"/>
            <w:tcBorders>
              <w:bottom w:val="single" w:color="auto" w:sz="4" w:space="0"/>
            </w:tcBorders>
            <w:vAlign w:val="center"/>
          </w:tcPr>
          <w:p>
            <w:pPr>
              <w:shd w:val="clear" w:color="auto" w:fill="C7DAF1" w:themeFill="text2" w:themeFillTint="32"/>
              <w:rPr>
                <w:highlight w:val="none"/>
                <w:lang w:eastAsia="ja-JP"/>
              </w:rPr>
            </w:pPr>
            <w:r>
              <w:rPr>
                <w:rFonts w:hint="eastAsia"/>
                <w:highlight w:val="none"/>
              </w:rPr>
              <w:t>0</w:t>
            </w:r>
          </w:p>
        </w:tc>
        <w:tc>
          <w:tcPr>
            <w:tcW w:w="649" w:type="dxa"/>
            <w:tcBorders>
              <w:bottom w:val="single" w:color="auto" w:sz="4" w:space="0"/>
            </w:tcBorders>
            <w:vAlign w:val="center"/>
          </w:tcPr>
          <w:p>
            <w:pPr>
              <w:shd w:val="clear" w:color="auto" w:fill="C7DAF1" w:themeFill="text2" w:themeFillTint="32"/>
              <w:rPr>
                <w:highlight w:val="none"/>
                <w:lang w:eastAsia="ja-JP"/>
              </w:rPr>
            </w:pPr>
            <w:r>
              <w:rPr>
                <w:rFonts w:hint="eastAsia"/>
                <w:highlight w:val="none"/>
              </w:rPr>
              <w:t>0</w:t>
            </w:r>
          </w:p>
        </w:tc>
        <w:tc>
          <w:tcPr>
            <w:tcW w:w="650" w:type="dxa"/>
            <w:tcBorders>
              <w:bottom w:val="single" w:color="auto" w:sz="4" w:space="0"/>
            </w:tcBorders>
            <w:vAlign w:val="center"/>
          </w:tcPr>
          <w:p>
            <w:pPr>
              <w:shd w:val="clear" w:color="auto" w:fill="C7DAF1" w:themeFill="text2" w:themeFillTint="32"/>
              <w:rPr>
                <w:highlight w:val="none"/>
                <w:lang w:eastAsia="ja-JP"/>
              </w:rPr>
            </w:pPr>
            <w:r>
              <w:rPr>
                <w:rFonts w:hint="eastAsia"/>
                <w:highlight w:val="none"/>
              </w:rPr>
              <w:t>0</w:t>
            </w:r>
          </w:p>
        </w:tc>
        <w:tc>
          <w:tcPr>
            <w:tcW w:w="650" w:type="dxa"/>
            <w:tcBorders>
              <w:bottom w:val="single" w:color="auto" w:sz="4" w:space="0"/>
            </w:tcBorders>
            <w:vAlign w:val="center"/>
          </w:tcPr>
          <w:p>
            <w:pPr>
              <w:shd w:val="clear" w:color="auto" w:fill="C7DAF1" w:themeFill="text2" w:themeFillTint="32"/>
              <w:rPr>
                <w:highlight w:val="none"/>
                <w:lang w:eastAsia="ja-JP"/>
              </w:rPr>
            </w:pPr>
            <w:r>
              <w:rPr>
                <w:rFonts w:hint="eastAsia"/>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49"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50" w:type="dxa"/>
            <w:vAlign w:val="center"/>
          </w:tcPr>
          <w:p>
            <w:pPr>
              <w:shd w:val="clear" w:color="auto" w:fill="C7DAF1" w:themeFill="text2" w:themeFillTint="32"/>
              <w:rPr>
                <w:highlight w:val="none"/>
                <w:lang w:eastAsia="ja-JP"/>
              </w:rPr>
            </w:pPr>
            <w:r>
              <w:rPr>
                <w:rFonts w:hint="eastAsia"/>
                <w:highlight w:val="none"/>
              </w:rPr>
              <w:t>0</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lang w:eastAsia="zh-CN"/>
              </w:rPr>
              <w:t>☑</w:t>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w:t>
            </w:r>
            <w:r>
              <w:rPr>
                <w:rFonts w:hint="eastAsia"/>
                <w:lang w:eastAsia="zh-CN"/>
              </w:rPr>
              <w:t>☑</w:t>
            </w:r>
            <w:r>
              <w:rPr>
                <w:rFonts w:hint="eastAsia"/>
              </w:rPr>
              <w:t>生产/服务过程</w:t>
            </w:r>
            <w:r>
              <w:rPr>
                <w:rFonts w:hint="eastAsia"/>
                <w:lang w:eastAsia="zh-CN"/>
              </w:rPr>
              <w:t>☑</w:t>
            </w:r>
            <w:r>
              <w:rPr>
                <w:rFonts w:hint="eastAsia"/>
              </w:rPr>
              <w:t>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最高管理者制定了文件化的管理体系方针：以安全生产、保护环境、守法诚信、体现社会责任</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竞争风险</w:t>
                  </w:r>
                </w:p>
              </w:tc>
              <w:tc>
                <w:tcPr>
                  <w:tcW w:w="3965"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及时关注公司产品市场的情况，收集信息及时调整，保持公司产品的竞争力</w:t>
                  </w: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人力资源风险</w:t>
                  </w:r>
                </w:p>
              </w:tc>
              <w:tc>
                <w:tcPr>
                  <w:tcW w:w="3965"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各部门应及时关注员工的心态变化，注意工作方式，创造良好的工作环境，提高员工的归属感</w:t>
                  </w: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ascii="黑体" w:hAnsi="黑体" w:eastAsia="黑体" w:cs="黑体"/>
                <w:lang w:eastAsia="zh-CN"/>
              </w:rPr>
              <w:t>□</w:t>
            </w:r>
            <w:r>
              <w:rPr>
                <w:rFonts w:hint="eastAsia"/>
              </w:rPr>
              <w:t>废水排放□废气排放</w:t>
            </w:r>
            <w:r>
              <w:rPr>
                <w:rFonts w:hint="eastAsia" w:ascii="黑体" w:hAnsi="黑体" w:eastAsia="黑体" w:cs="黑体"/>
                <w:lang w:eastAsia="zh-CN"/>
              </w:rPr>
              <w:t>☑</w:t>
            </w:r>
            <w:r>
              <w:rPr>
                <w:rFonts w:hint="eastAsia"/>
              </w:rPr>
              <w:t>粉尘排放□危废排放</w:t>
            </w:r>
            <w:r>
              <w:rPr>
                <w:rFonts w:hint="eastAsia" w:ascii="黑体" w:hAnsi="黑体" w:eastAsia="黑体" w:cs="黑体"/>
                <w:lang w:eastAsia="zh-CN"/>
              </w:rPr>
              <w:t>☑</w:t>
            </w:r>
            <w:r>
              <w:rPr>
                <w:rFonts w:hint="eastAsia"/>
              </w:rPr>
              <w:t>噪声排放□危化品泄露</w:t>
            </w:r>
            <w:r>
              <w:rPr>
                <w:rFonts w:hint="eastAsia" w:ascii="黑体" w:hAnsi="黑体" w:eastAsia="黑体" w:cs="黑体"/>
                <w:lang w:eastAsia="zh-CN"/>
              </w:rPr>
              <w:t>☑</w:t>
            </w:r>
            <w:r>
              <w:rPr>
                <w:rFonts w:hint="eastAsia"/>
              </w:rPr>
              <w:t>压力容器爆炸</w:t>
            </w:r>
            <w:r>
              <w:rPr>
                <w:rFonts w:hint="eastAsia" w:ascii="黑体" w:hAnsi="黑体" w:eastAsia="黑体" w:cs="黑体"/>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lang w:eastAsia="zh-CN"/>
              </w:rPr>
              <w:t>☑</w:t>
            </w:r>
            <w:r>
              <w:rPr>
                <w:rFonts w:hint="eastAsia"/>
              </w:rPr>
              <w:t>环境影响报告表日期：2017年12月7日</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ascii="黑体" w:hAnsi="黑体" w:eastAsia="黑体" w:cs="黑体"/>
                <w:lang w:eastAsia="zh-CN"/>
              </w:rPr>
              <w:t>☑</w:t>
            </w:r>
            <w:r>
              <w:rPr>
                <w:rFonts w:hint="eastAsia"/>
              </w:rPr>
              <w:t>污水处理</w:t>
            </w:r>
            <w:r>
              <w:rPr>
                <w:rFonts w:hint="eastAsia" w:ascii="黑体" w:hAnsi="黑体" w:eastAsia="黑体" w:cs="黑体"/>
                <w:lang w:eastAsia="zh-CN"/>
              </w:rPr>
              <w:t>☑</w:t>
            </w:r>
            <w:r>
              <w:rPr>
                <w:rFonts w:hint="eastAsia"/>
              </w:rPr>
              <w:t>除尘设备</w:t>
            </w:r>
            <w:r>
              <w:rPr>
                <w:rFonts w:hint="eastAsia" w:ascii="黑体" w:hAnsi="黑体" w:eastAsia="黑体" w:cs="黑体"/>
                <w:lang w:eastAsia="zh-CN"/>
              </w:rPr>
              <w:t>☑</w:t>
            </w:r>
            <w:r>
              <w:rPr>
                <w:rFonts w:hint="eastAsia"/>
              </w:rPr>
              <w:t>设备降噪</w:t>
            </w:r>
            <w:r>
              <w:rPr>
                <w:rFonts w:hint="eastAsia" w:ascii="黑体" w:hAnsi="黑体" w:eastAsia="黑体" w:cs="黑体"/>
                <w:lang w:eastAsia="zh-CN"/>
              </w:rPr>
              <w:t>☑</w:t>
            </w:r>
            <w:r>
              <w:rPr>
                <w:rFonts w:hint="eastAsia"/>
              </w:rPr>
              <w:t>危废合法处置□使用节能设备□危化品控制</w:t>
            </w:r>
          </w:p>
          <w:p>
            <w:pPr>
              <w:shd w:val="clear" w:color="auto" w:fill="EBF1DE" w:themeFill="accent3" w:themeFillTint="32"/>
              <w:rPr>
                <w:highlight w:val="cyan"/>
              </w:rPr>
            </w:pPr>
            <w:r>
              <w:rPr>
                <w:rFonts w:hint="eastAsia" w:ascii="黑体" w:hAnsi="黑体" w:eastAsia="黑体" w:cs="黑体"/>
                <w:lang w:eastAsia="zh-CN"/>
              </w:rPr>
              <w:t>☑</w:t>
            </w:r>
            <w:r>
              <w:rPr>
                <w:rFonts w:hint="eastAsia"/>
              </w:rPr>
              <w:t>压力容器检测</w:t>
            </w:r>
            <w:r>
              <w:rPr>
                <w:rFonts w:hint="eastAsia" w:ascii="黑体" w:hAnsi="黑体" w:eastAsia="黑体" w:cs="黑体"/>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EBF1DE" w:themeFill="accent3" w:themeFillTint="32"/>
                  </w:pPr>
                  <w:r>
                    <w:rPr>
                      <w:rFonts w:hint="eastAsia" w:ascii="宋体" w:hAnsi="宋体"/>
                    </w:rPr>
                    <w:t>废弃物集中收集处置100%</w:t>
                  </w:r>
                </w:p>
              </w:tc>
              <w:tc>
                <w:tcPr>
                  <w:tcW w:w="3136" w:type="dxa"/>
                  <w:shd w:val="clear" w:color="auto" w:fill="auto"/>
                  <w:vAlign w:val="center"/>
                </w:tcPr>
                <w:p>
                  <w:pPr>
                    <w:shd w:val="clear" w:color="auto" w:fill="EBF1DE" w:themeFill="accent3" w:themeFillTint="32"/>
                    <w:rPr>
                      <w:lang w:val="en-GB"/>
                    </w:rPr>
                  </w:pPr>
                  <w:r>
                    <w:rPr>
                      <w:rFonts w:hint="eastAsia"/>
                      <w:color w:val="000000"/>
                      <w:szCs w:val="18"/>
                    </w:rPr>
                    <w:t>环境管理方案</w:t>
                  </w:r>
                </w:p>
              </w:tc>
              <w:tc>
                <w:tcPr>
                  <w:tcW w:w="1350" w:type="dxa"/>
                  <w:shd w:val="clear" w:color="auto" w:fill="auto"/>
                  <w:vAlign w:val="center"/>
                </w:tcPr>
                <w:p>
                  <w:pPr>
                    <w:shd w:val="clear" w:color="auto" w:fill="EBF1DE" w:themeFill="accent3" w:themeFillTint="32"/>
                    <w:rPr>
                      <w:lang w:val="en-GB"/>
                    </w:rPr>
                  </w:pPr>
                  <w:r>
                    <w:rPr>
                      <w:rFonts w:hint="eastAsia"/>
                      <w:lang w:val="en-GB"/>
                    </w:rPr>
                    <w:t>综合部</w:t>
                  </w:r>
                </w:p>
              </w:tc>
              <w:tc>
                <w:tcPr>
                  <w:tcW w:w="1774" w:type="dxa"/>
                  <w:shd w:val="clear" w:color="auto" w:fill="auto"/>
                  <w:vAlign w:val="center"/>
                </w:tcPr>
                <w:p>
                  <w:pPr>
                    <w:shd w:val="clear" w:color="auto" w:fill="EBF1DE" w:themeFill="accent3" w:themeFillTint="32"/>
                    <w:rPr>
                      <w:rFonts w:ascii="宋体" w:hAnsi="宋体"/>
                      <w:lang w:val="en-GB"/>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宋体" w:hAnsi="宋体"/>
                    </w:rPr>
                    <w:t>火灾触电事故为零</w:t>
                  </w:r>
                </w:p>
              </w:tc>
              <w:tc>
                <w:tcPr>
                  <w:tcW w:w="3136" w:type="dxa"/>
                  <w:shd w:val="clear" w:color="auto" w:fill="auto"/>
                  <w:vAlign w:val="center"/>
                </w:tcPr>
                <w:p>
                  <w:pPr>
                    <w:shd w:val="clear" w:color="auto" w:fill="EBF1DE" w:themeFill="accent3" w:themeFillTint="32"/>
                    <w:rPr>
                      <w:rFonts w:ascii="宋体" w:hAnsi="宋体"/>
                    </w:rPr>
                  </w:pPr>
                  <w:r>
                    <w:rPr>
                      <w:rFonts w:hint="eastAsia"/>
                      <w:color w:val="000000"/>
                      <w:szCs w:val="18"/>
                    </w:rPr>
                    <w:t>环境管理方案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GB"/>
                    </w:rPr>
                    <w:t>综合部</w:t>
                  </w:r>
                </w:p>
              </w:tc>
              <w:tc>
                <w:tcPr>
                  <w:tcW w:w="1774" w:type="dxa"/>
                  <w:shd w:val="clear" w:color="auto" w:fill="auto"/>
                  <w:vAlign w:val="center"/>
                </w:tcPr>
                <w:p>
                  <w:pPr>
                    <w:shd w:val="clear" w:color="auto" w:fill="EBF1DE" w:themeFill="accent3" w:themeFillTint="32"/>
                    <w:rPr>
                      <w:rFonts w:ascii="宋体" w:hAnsi="宋体"/>
                    </w:rPr>
                  </w:pPr>
                  <w:r>
                    <w:rPr>
                      <w:rFonts w:hint="eastAsia"/>
                      <w:color w:val="000000"/>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EBF1DE" w:themeFill="accent3" w:themeFillTint="32"/>
                  </w:pPr>
                  <w:r>
                    <w:rPr>
                      <w:rFonts w:hint="eastAsia" w:ascii="宋体" w:hAnsi="宋体"/>
                    </w:rPr>
                    <w:t>废水、废气达标排放</w:t>
                  </w:r>
                </w:p>
              </w:tc>
              <w:tc>
                <w:tcPr>
                  <w:tcW w:w="3136" w:type="dxa"/>
                  <w:shd w:val="clear" w:color="auto" w:fill="auto"/>
                  <w:vAlign w:val="center"/>
                </w:tcPr>
                <w:p>
                  <w:pPr>
                    <w:shd w:val="clear" w:color="auto" w:fill="EBF1DE" w:themeFill="accent3" w:themeFillTint="32"/>
                    <w:rPr>
                      <w:rFonts w:ascii="宋体" w:hAnsi="宋体"/>
                    </w:rPr>
                  </w:pPr>
                  <w:r>
                    <w:rPr>
                      <w:rFonts w:hint="eastAsia"/>
                      <w:color w:val="000000"/>
                      <w:szCs w:val="18"/>
                    </w:rPr>
                    <w:t>环境管理方案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GB"/>
                    </w:rPr>
                    <w:t>综合部</w:t>
                  </w:r>
                </w:p>
              </w:tc>
              <w:tc>
                <w:tcPr>
                  <w:tcW w:w="1774" w:type="dxa"/>
                  <w:shd w:val="clear" w:color="auto" w:fill="auto"/>
                  <w:vAlign w:val="center"/>
                </w:tcPr>
                <w:p>
                  <w:pPr>
                    <w:shd w:val="clear" w:color="auto" w:fill="EBF1DE" w:themeFill="accent3" w:themeFillTint="32"/>
                    <w:rPr>
                      <w:rFonts w:ascii="宋体" w:hAnsi="宋体"/>
                    </w:rPr>
                  </w:pPr>
                  <w:r>
                    <w:rPr>
                      <w:rFonts w:hint="eastAsia"/>
                      <w:color w:val="000000"/>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宋体" w:hAnsi="宋体"/>
                    </w:rPr>
                    <w:t>噪声达标排放</w:t>
                  </w:r>
                </w:p>
              </w:tc>
              <w:tc>
                <w:tcPr>
                  <w:tcW w:w="3136" w:type="dxa"/>
                  <w:shd w:val="clear" w:color="auto" w:fill="auto"/>
                  <w:vAlign w:val="center"/>
                </w:tcPr>
                <w:p>
                  <w:pPr>
                    <w:shd w:val="clear" w:color="auto" w:fill="EBF1DE" w:themeFill="accent3" w:themeFillTint="32"/>
                    <w:rPr>
                      <w:rFonts w:ascii="宋体" w:hAnsi="宋体"/>
                    </w:rPr>
                  </w:pPr>
                  <w:r>
                    <w:rPr>
                      <w:rFonts w:hint="eastAsia"/>
                      <w:color w:val="000000"/>
                      <w:szCs w:val="18"/>
                    </w:rPr>
                    <w:t>环境管理方案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GB"/>
                    </w:rPr>
                    <w:t>综合部</w:t>
                  </w:r>
                </w:p>
              </w:tc>
              <w:tc>
                <w:tcPr>
                  <w:tcW w:w="1774" w:type="dxa"/>
                  <w:shd w:val="clear" w:color="auto" w:fill="auto"/>
                  <w:vAlign w:val="center"/>
                </w:tcPr>
                <w:p>
                  <w:pPr>
                    <w:shd w:val="clear" w:color="auto" w:fill="EBF1DE" w:themeFill="accent3" w:themeFillTint="32"/>
                    <w:rPr>
                      <w:rFonts w:ascii="宋体" w:hAnsi="宋体"/>
                    </w:rPr>
                  </w:pPr>
                  <w:r>
                    <w:rPr>
                      <w:rFonts w:hint="eastAsia"/>
                      <w:color w:val="000000"/>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eastAsia="zh-CN"/>
              </w:rPr>
              <w:t>建筑面积600平方米；生产车间1个；库房1个；实验室0个</w:t>
            </w:r>
            <w:r>
              <w:rPr>
                <w:rFonts w:hint="eastAsia"/>
              </w:rPr>
              <w:t>；</w:t>
            </w:r>
          </w:p>
          <w:p>
            <w:pPr>
              <w:shd w:val="clear" w:color="auto" w:fill="EBF1DE" w:themeFill="accent3" w:themeFillTint="32"/>
              <w:rPr>
                <w:rFonts w:hint="eastAsia" w:eastAsia="宋体"/>
                <w:u w:val="single"/>
                <w:lang w:eastAsia="zh-CN"/>
              </w:rPr>
            </w:pPr>
            <w:r>
              <w:rPr>
                <w:rFonts w:hint="eastAsia"/>
                <w:lang w:eastAsia="zh-CN"/>
              </w:rPr>
              <w:t>主要生产设备有：数控切割机、台式砂轮机、摇臂钻床、行车等</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538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5385" w:type="dxa"/>
                </w:tcPr>
                <w:p>
                  <w:pPr>
                    <w:shd w:val="clear" w:color="auto" w:fill="EBF1DE" w:themeFill="accent3" w:themeFillTint="32"/>
                    <w:jc w:val="left"/>
                  </w:pPr>
                  <w:r>
                    <w:rPr>
                      <w:rFonts w:hint="eastAsia"/>
                    </w:rPr>
                    <w:t>控制措施</w:t>
                  </w:r>
                </w:p>
              </w:tc>
              <w:tc>
                <w:tcPr>
                  <w:tcW w:w="154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5385" w:type="dxa"/>
                  <w:vAlign w:val="top"/>
                </w:tcPr>
                <w:p>
                  <w:pPr>
                    <w:shd w:val="clear" w:color="auto" w:fill="EBF1DE" w:themeFill="accent3" w:themeFillTint="32"/>
                    <w:jc w:val="left"/>
                  </w:pPr>
                </w:p>
              </w:tc>
              <w:tc>
                <w:tcPr>
                  <w:tcW w:w="154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shd w:val="clear" w:color="auto" w:fill="EBF1DE" w:themeFill="accent3" w:themeFillTint="32"/>
                    <w:jc w:val="left"/>
                  </w:pPr>
                  <w:r>
                    <w:rPr>
                      <w:rFonts w:hint="eastAsia"/>
                    </w:rPr>
                    <w:t>资源消耗</w:t>
                  </w:r>
                </w:p>
              </w:tc>
              <w:tc>
                <w:tcPr>
                  <w:tcW w:w="5385" w:type="dxa"/>
                  <w:vAlign w:val="top"/>
                </w:tcPr>
                <w:p>
                  <w:pPr>
                    <w:shd w:val="clear" w:color="auto" w:fill="EBF1DE" w:themeFill="accent3" w:themeFillTint="32"/>
                    <w:jc w:val="left"/>
                  </w:pPr>
                </w:p>
              </w:tc>
              <w:tc>
                <w:tcPr>
                  <w:tcW w:w="154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废水排放</w:t>
                  </w:r>
                </w:p>
              </w:tc>
              <w:tc>
                <w:tcPr>
                  <w:tcW w:w="5385" w:type="dxa"/>
                  <w:vAlign w:val="top"/>
                </w:tcPr>
                <w:p>
                  <w:pPr>
                    <w:shd w:val="clear" w:color="auto" w:fill="EBF1DE" w:themeFill="accent3" w:themeFillTint="32"/>
                    <w:jc w:val="left"/>
                  </w:pPr>
                </w:p>
              </w:tc>
              <w:tc>
                <w:tcPr>
                  <w:tcW w:w="154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废气排放</w:t>
                  </w:r>
                </w:p>
              </w:tc>
              <w:tc>
                <w:tcPr>
                  <w:tcW w:w="5385" w:type="dxa"/>
                  <w:vAlign w:val="top"/>
                </w:tcPr>
                <w:p>
                  <w:pPr>
                    <w:shd w:val="clear" w:color="auto" w:fill="EBF1DE" w:themeFill="accent3" w:themeFillTint="32"/>
                    <w:jc w:val="left"/>
                  </w:pPr>
                  <w:r>
                    <w:rPr>
                      <w:rFonts w:hint="eastAsia" w:ascii="宋体" w:hAnsi="宋体"/>
                      <w:szCs w:val="21"/>
                    </w:rPr>
                    <w:t>环境管理方案、运行控制程序</w:t>
                  </w:r>
                </w:p>
              </w:tc>
              <w:tc>
                <w:tcPr>
                  <w:tcW w:w="1545" w:type="dxa"/>
                  <w:vAlign w:val="center"/>
                </w:tcPr>
                <w:p>
                  <w:pPr>
                    <w:spacing w:line="360" w:lineRule="exact"/>
                    <w:ind w:firstLine="105" w:firstLineChars="50"/>
                  </w:pPr>
                  <w:r>
                    <w:rPr>
                      <w:rFonts w:hint="eastAsia" w:ascii="宋体" w:hAnsi="宋体"/>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5385" w:type="dxa"/>
                  <w:vAlign w:val="top"/>
                </w:tcPr>
                <w:p>
                  <w:pPr>
                    <w:shd w:val="clear" w:color="auto" w:fill="EBF1DE" w:themeFill="accent3" w:themeFillTint="32"/>
                    <w:jc w:val="left"/>
                  </w:pPr>
                  <w:r>
                    <w:rPr>
                      <w:rFonts w:hint="eastAsia" w:ascii="宋体" w:hAnsi="宋体"/>
                      <w:szCs w:val="21"/>
                    </w:rPr>
                    <w:t>环境管理方案、运行控制程序</w:t>
                  </w:r>
                </w:p>
              </w:tc>
              <w:tc>
                <w:tcPr>
                  <w:tcW w:w="1545" w:type="dxa"/>
                  <w:vAlign w:val="center"/>
                </w:tcPr>
                <w:p>
                  <w:pPr>
                    <w:spacing w:line="360" w:lineRule="exact"/>
                    <w:ind w:firstLine="105" w:firstLineChars="50"/>
                  </w:pPr>
                  <w:r>
                    <w:rPr>
                      <w:rFonts w:hint="eastAsia" w:ascii="宋体" w:hAnsi="宋体"/>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5385" w:type="dxa"/>
                  <w:vAlign w:val="top"/>
                </w:tcPr>
                <w:p>
                  <w:pPr>
                    <w:shd w:val="clear" w:color="auto" w:fill="EBF1DE" w:themeFill="accent3" w:themeFillTint="32"/>
                    <w:jc w:val="left"/>
                  </w:pPr>
                  <w:r>
                    <w:rPr>
                      <w:rFonts w:hint="eastAsia" w:ascii="宋体" w:hAnsi="宋体"/>
                      <w:szCs w:val="21"/>
                    </w:rPr>
                    <w:t>环境管理方案、运行控制程序</w:t>
                  </w:r>
                </w:p>
              </w:tc>
              <w:tc>
                <w:tcPr>
                  <w:tcW w:w="1545" w:type="dxa"/>
                  <w:vAlign w:val="center"/>
                </w:tcPr>
                <w:p>
                  <w:pPr>
                    <w:spacing w:line="360" w:lineRule="exact"/>
                    <w:ind w:firstLine="105" w:firstLineChars="50"/>
                  </w:pPr>
                  <w:r>
                    <w:rPr>
                      <w:rFonts w:hint="eastAsia" w:ascii="宋体" w:hAnsi="宋体"/>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5385" w:type="dxa"/>
                  <w:vAlign w:val="top"/>
                </w:tcPr>
                <w:p>
                  <w:pPr>
                    <w:shd w:val="clear" w:color="auto" w:fill="EBF1DE" w:themeFill="accent3" w:themeFillTint="32"/>
                    <w:jc w:val="left"/>
                  </w:pPr>
                  <w:r>
                    <w:rPr>
                      <w:rFonts w:hint="eastAsia" w:ascii="宋体" w:hAnsi="宋体"/>
                      <w:szCs w:val="21"/>
                    </w:rPr>
                    <w:t>环境管理方案、运行控制程序</w:t>
                  </w:r>
                </w:p>
              </w:tc>
              <w:tc>
                <w:tcPr>
                  <w:tcW w:w="1545" w:type="dxa"/>
                  <w:vAlign w:val="center"/>
                </w:tcPr>
                <w:p>
                  <w:pPr>
                    <w:spacing w:line="360" w:lineRule="exact"/>
                    <w:ind w:firstLine="105" w:firstLineChars="50"/>
                  </w:pPr>
                  <w:r>
                    <w:rPr>
                      <w:rFonts w:hint="eastAsia" w:ascii="宋体" w:hAnsi="宋体"/>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5385" w:type="dxa"/>
                  <w:vAlign w:val="top"/>
                </w:tcPr>
                <w:p>
                  <w:pPr>
                    <w:spacing w:line="360" w:lineRule="exact"/>
                  </w:pPr>
                  <w:r>
                    <w:rPr>
                      <w:rFonts w:hint="eastAsia" w:ascii="宋体" w:hAnsi="宋体"/>
                      <w:szCs w:val="21"/>
                    </w:rPr>
                    <w:t>制定环境管理方案、运行控制程序</w:t>
                  </w:r>
                  <w:r>
                    <w:rPr>
                      <w:rFonts w:hint="eastAsia" w:ascii="宋体" w:hAnsi="宋体"/>
                      <w:szCs w:val="21"/>
                      <w:lang w:eastAsia="zh-CN"/>
                    </w:rPr>
                    <w:t>；</w:t>
                  </w:r>
                  <w:r>
                    <w:rPr>
                      <w:rFonts w:hint="eastAsia" w:ascii="宋体" w:hAnsi="宋体"/>
                      <w:szCs w:val="21"/>
                    </w:rPr>
                    <w:t>应急预案及应急演练</w:t>
                  </w:r>
                </w:p>
              </w:tc>
              <w:tc>
                <w:tcPr>
                  <w:tcW w:w="1545" w:type="dxa"/>
                  <w:vAlign w:val="center"/>
                </w:tcPr>
                <w:p>
                  <w:pPr>
                    <w:spacing w:line="360" w:lineRule="exact"/>
                    <w:ind w:firstLine="105" w:firstLineChars="50"/>
                  </w:pPr>
                  <w:r>
                    <w:rPr>
                      <w:rFonts w:hint="eastAsia" w:ascii="宋体" w:hAnsi="宋体"/>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其他</w:t>
                  </w:r>
                </w:p>
              </w:tc>
              <w:tc>
                <w:tcPr>
                  <w:tcW w:w="5385" w:type="dxa"/>
                  <w:vAlign w:val="top"/>
                </w:tcPr>
                <w:p>
                  <w:pPr>
                    <w:shd w:val="clear" w:color="auto" w:fill="EBF1DE" w:themeFill="accent3" w:themeFillTint="32"/>
                    <w:jc w:val="left"/>
                  </w:pPr>
                </w:p>
              </w:tc>
              <w:tc>
                <w:tcPr>
                  <w:tcW w:w="1545" w:type="dxa"/>
                  <w:vAlign w:val="top"/>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组织对生产设备、环保设备、特种设备制订了计划进行了定期的检查、保养和维修；运行完好</w:t>
            </w:r>
          </w:p>
          <w:p>
            <w:pPr>
              <w:shd w:val="clear" w:color="auto" w:fill="EBF1DE" w:themeFill="accent3"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进行了定期检验</w:t>
            </w:r>
            <w:r>
              <w:rPr>
                <w:rFonts w:hint="eastAsia" w:ascii="Wingdings" w:hAnsi="Wingdings"/>
                <w:highlight w:val="none"/>
                <w:lang w:eastAsia="zh-CN"/>
              </w:rPr>
              <w:t>□</w:t>
            </w:r>
            <w:r>
              <w:rPr>
                <w:rFonts w:hint="eastAsia"/>
                <w:highlight w:val="none"/>
              </w:rPr>
              <w:t>未进行定期检验的有：</w:t>
            </w:r>
          </w:p>
          <w:p>
            <w:pPr>
              <w:shd w:val="clear" w:color="auto" w:fill="EBF1DE" w:themeFill="accent3" w:themeFillTint="32"/>
            </w:pPr>
            <w:r>
              <w:rPr>
                <w:rFonts w:hint="eastAsia"/>
                <w:highlight w:val="none"/>
              </w:rPr>
              <w:t>特种设备检测报告，如：</w:t>
            </w:r>
            <w:r>
              <w:rPr>
                <w:rFonts w:hint="eastAsia"/>
                <w:highlight w:val="none"/>
                <w:u w:val="single"/>
              </w:rPr>
              <w:t>固定式压力容器，报告编号：RC-2021-03263-设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日进行了</w:t>
            </w:r>
            <w:r>
              <w:rPr>
                <w:rFonts w:hint="eastAsia"/>
                <w:lang w:eastAsia="zh-CN"/>
              </w:rPr>
              <w:t>消防</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highlight w:val="none"/>
              </w:rPr>
            </w:pPr>
            <w:r>
              <w:rPr>
                <w:rFonts w:hint="eastAsia"/>
                <w:highlight w:val="none"/>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28-29</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rPr>
              <w:t>0</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rPr>
              <w:t>0</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0</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w:t>
            </w:r>
            <w:r>
              <w:rPr>
                <w:rFonts w:hint="eastAsia"/>
                <w:lang w:eastAsia="zh-CN"/>
              </w:rPr>
              <w:t>☑</w:t>
            </w:r>
            <w:r>
              <w:rPr>
                <w:rFonts w:hint="eastAsia"/>
              </w:rPr>
              <w:t>生产/服务过程□安全监测□产品运输</w:t>
            </w:r>
            <w:r>
              <w:rPr>
                <w:rFonts w:hint="eastAsia"/>
                <w:lang w:eastAsia="zh-CN"/>
              </w:rPr>
              <w:t>☑</w:t>
            </w:r>
            <w:r>
              <w:rPr>
                <w:rFonts w:hint="eastAsia"/>
              </w:rPr>
              <w:t>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最高管理者制定了文件化的职业健康安全管理体系方针：以安全生产、保护环境、守法诚信、体现社会责任</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综合部</w:t>
            </w:r>
          </w:p>
          <w:p>
            <w:pPr>
              <w:rPr>
                <w:rFonts w:hint="eastAsia" w:eastAsia="宋体"/>
                <w:lang w:eastAsia="zh-CN"/>
              </w:rPr>
            </w:pPr>
            <w:r>
              <w:rPr>
                <w:rFonts w:hint="eastAsia"/>
              </w:rPr>
              <w:t>安全的主管部门是——</w:t>
            </w:r>
            <w:r>
              <w:rPr>
                <w:rFonts w:hint="eastAsia"/>
                <w:lang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员工代表是——郭伟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rPr>
                    <w:t>生产过程</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rPr>
                    <w:t>制定安全操作规程、安全措施并严格执行</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highlight w:val="none"/>
              </w:rPr>
            </w:pPr>
            <w:r>
              <w:rPr>
                <w:rFonts w:hint="eastAsia"/>
                <w:lang w:eastAsia="zh-CN"/>
              </w:rPr>
              <w:t>☑</w:t>
            </w:r>
            <w:r>
              <w:rPr>
                <w:rFonts w:hint="eastAsia"/>
                <w:highlight w:val="none"/>
              </w:rPr>
              <w:t>职业病体检报告书日期：202</w:t>
            </w:r>
            <w:r>
              <w:rPr>
                <w:rFonts w:hint="eastAsia"/>
                <w:highlight w:val="none"/>
                <w:lang w:val="en-US" w:eastAsia="zh-CN"/>
              </w:rPr>
              <w:t>2</w:t>
            </w:r>
            <w:r>
              <w:rPr>
                <w:rFonts w:hint="eastAsia"/>
                <w:highlight w:val="none"/>
              </w:rPr>
              <w:t>年5月</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w:t>
            </w: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rPr>
                    <w:t>重大安全事故和伤亡事故为0</w:t>
                  </w:r>
                </w:p>
              </w:tc>
              <w:tc>
                <w:tcPr>
                  <w:tcW w:w="3136" w:type="dxa"/>
                  <w:shd w:val="clear" w:color="auto" w:fill="auto"/>
                  <w:vAlign w:val="top"/>
                </w:tcPr>
                <w:p>
                  <w:pPr>
                    <w:widowControl/>
                    <w:spacing w:before="40"/>
                    <w:jc w:val="left"/>
                    <w:rPr>
                      <w:lang w:val="en-GB"/>
                    </w:rPr>
                  </w:pPr>
                  <w:r>
                    <w:rPr>
                      <w:rFonts w:hint="eastAsia" w:ascii="宋体" w:hAnsi="宋体"/>
                    </w:rPr>
                    <w:t>安全管理方案</w:t>
                  </w:r>
                </w:p>
              </w:tc>
              <w:tc>
                <w:tcPr>
                  <w:tcW w:w="1350" w:type="dxa"/>
                  <w:shd w:val="clear" w:color="auto" w:fill="auto"/>
                  <w:vAlign w:val="center"/>
                </w:tcPr>
                <w:p>
                  <w:pPr>
                    <w:rPr>
                      <w:lang w:val="en-GB"/>
                    </w:rPr>
                  </w:pPr>
                  <w:r>
                    <w:rPr>
                      <w:rFonts w:hint="eastAsia"/>
                      <w:lang w:val="en-GB"/>
                    </w:rPr>
                    <w:t>生产部</w:t>
                  </w:r>
                </w:p>
              </w:tc>
              <w:tc>
                <w:tcPr>
                  <w:tcW w:w="1774" w:type="dxa"/>
                  <w:shd w:val="clear" w:color="auto" w:fill="auto"/>
                  <w:vAlign w:val="top"/>
                </w:tcPr>
                <w:p>
                  <w:pPr>
                    <w:widowControl/>
                    <w:spacing w:before="40"/>
                    <w:jc w:val="left"/>
                    <w:rPr>
                      <w:rFonts w:ascii="宋体" w:hAnsi="宋体"/>
                      <w:lang w:val="en-GB"/>
                    </w:rPr>
                  </w:pPr>
                  <w:r>
                    <w:rPr>
                      <w:rFonts w:hint="eastAsia"/>
                      <w:color w:val="000000"/>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rPr>
                    <w:t>火灾触电事故为零</w:t>
                  </w:r>
                </w:p>
              </w:tc>
              <w:tc>
                <w:tcPr>
                  <w:tcW w:w="3136" w:type="dxa"/>
                  <w:shd w:val="clear" w:color="auto" w:fill="auto"/>
                  <w:vAlign w:val="top"/>
                </w:tcPr>
                <w:p>
                  <w:pPr>
                    <w:widowControl/>
                    <w:spacing w:before="40"/>
                    <w:jc w:val="left"/>
                    <w:rPr>
                      <w:rFonts w:ascii="宋体" w:hAnsi="宋体"/>
                    </w:rPr>
                  </w:pPr>
                  <w:r>
                    <w:rPr>
                      <w:rFonts w:hint="eastAsia"/>
                      <w:color w:val="000000"/>
                      <w:szCs w:val="18"/>
                    </w:rPr>
                    <w:t>火灾预防、火灾应急预案</w:t>
                  </w:r>
                </w:p>
              </w:tc>
              <w:tc>
                <w:tcPr>
                  <w:tcW w:w="1350" w:type="dxa"/>
                  <w:shd w:val="clear" w:color="auto" w:fill="auto"/>
                  <w:vAlign w:val="center"/>
                </w:tcPr>
                <w:p>
                  <w:pPr>
                    <w:rPr>
                      <w:rFonts w:ascii="宋体" w:hAnsi="宋体"/>
                    </w:rPr>
                  </w:pPr>
                  <w:r>
                    <w:rPr>
                      <w:rFonts w:hint="eastAsia"/>
                      <w:lang w:val="en-GB"/>
                    </w:rPr>
                    <w:t>生产部</w:t>
                  </w:r>
                </w:p>
              </w:tc>
              <w:tc>
                <w:tcPr>
                  <w:tcW w:w="1774" w:type="dxa"/>
                  <w:shd w:val="clear" w:color="auto" w:fill="auto"/>
                  <w:vAlign w:val="top"/>
                </w:tcPr>
                <w:p>
                  <w:pPr>
                    <w:widowControl/>
                    <w:spacing w:before="40"/>
                    <w:jc w:val="left"/>
                    <w:rPr>
                      <w:rFonts w:ascii="宋体" w:hAnsi="宋体"/>
                    </w:rPr>
                  </w:pPr>
                  <w:r>
                    <w:rPr>
                      <w:rFonts w:hint="eastAsia"/>
                      <w:color w:val="000000"/>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r>
                    <w:rPr>
                      <w:rFonts w:hint="eastAsia"/>
                    </w:rPr>
                    <w:t>职业病发生率为零</w:t>
                  </w:r>
                </w:p>
              </w:tc>
              <w:tc>
                <w:tcPr>
                  <w:tcW w:w="3136" w:type="dxa"/>
                  <w:shd w:val="clear" w:color="auto" w:fill="auto"/>
                  <w:vAlign w:val="center"/>
                </w:tcPr>
                <w:p>
                  <w:pPr>
                    <w:rPr>
                      <w:rFonts w:ascii="宋体" w:hAnsi="宋体"/>
                    </w:rPr>
                  </w:pPr>
                  <w:r>
                    <w:rPr>
                      <w:rFonts w:hint="eastAsia"/>
                      <w:color w:val="000000"/>
                      <w:szCs w:val="18"/>
                    </w:rPr>
                    <w:t>职业病预防方案</w:t>
                  </w:r>
                </w:p>
              </w:tc>
              <w:tc>
                <w:tcPr>
                  <w:tcW w:w="1350" w:type="dxa"/>
                  <w:shd w:val="clear" w:color="auto" w:fill="auto"/>
                  <w:vAlign w:val="center"/>
                </w:tcPr>
                <w:p>
                  <w:pPr>
                    <w:rPr>
                      <w:rFonts w:ascii="宋体" w:hAnsi="宋体"/>
                    </w:rPr>
                  </w:pPr>
                  <w:r>
                    <w:rPr>
                      <w:rFonts w:hint="eastAsia"/>
                      <w:lang w:val="en-GB"/>
                    </w:rPr>
                    <w:t>生产部</w:t>
                  </w:r>
                </w:p>
              </w:tc>
              <w:tc>
                <w:tcPr>
                  <w:tcW w:w="1774" w:type="dxa"/>
                  <w:shd w:val="clear" w:color="auto" w:fill="auto"/>
                  <w:vAlign w:val="center"/>
                </w:tcPr>
                <w:p>
                  <w:pPr>
                    <w:rPr>
                      <w:rFonts w:ascii="宋体" w:hAnsi="宋体"/>
                    </w:rPr>
                  </w:pPr>
                  <w:r>
                    <w:rPr>
                      <w:rFonts w:hint="eastAsia"/>
                      <w:color w:val="000000"/>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lang w:eastAsia="zh-CN"/>
              </w:rPr>
              <w:t>建筑面积600平方米；生产车间1个；库房1个；实验室0个</w:t>
            </w:r>
            <w:r>
              <w:rPr>
                <w:rFonts w:hint="eastAsia"/>
              </w:rPr>
              <w:t>；</w:t>
            </w:r>
          </w:p>
          <w:p>
            <w:pPr>
              <w:rPr>
                <w:rFonts w:hint="eastAsia" w:eastAsia="宋体"/>
                <w:u w:val="single"/>
                <w:lang w:eastAsia="zh-CN"/>
              </w:rPr>
            </w:pPr>
            <w:r>
              <w:rPr>
                <w:rFonts w:hint="eastAsia"/>
                <w:lang w:eastAsia="zh-CN"/>
              </w:rPr>
              <w:t>主要生产设备有：数控切割机、台式砂轮机、摇臂钻床、行车等</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ascii="黑体" w:hAnsi="黑体" w:eastAsia="黑体" w:cs="黑体"/>
                      <w:lang w:eastAsia="zh-CN"/>
                    </w:rPr>
                    <w:t>☑</w:t>
                  </w:r>
                  <w:r>
                    <w:rPr>
                      <w:rFonts w:hint="eastAsia"/>
                    </w:rPr>
                    <w:t>安全装置□挂牌上锁管理</w:t>
                  </w:r>
                </w:p>
              </w:tc>
              <w:tc>
                <w:tcPr>
                  <w:tcW w:w="2205" w:type="dxa"/>
                  <w:vAlign w:val="top"/>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jc w:val="left"/>
                  </w:pPr>
                  <w:r>
                    <w:rPr>
                      <w:rFonts w:hint="eastAsia"/>
                    </w:rPr>
                    <w:t>触电</w:t>
                  </w:r>
                </w:p>
              </w:tc>
              <w:tc>
                <w:tcPr>
                  <w:tcW w:w="4725" w:type="dxa"/>
                  <w:vAlign w:val="top"/>
                </w:tcPr>
                <w:p>
                  <w:pPr>
                    <w:jc w:val="left"/>
                  </w:pPr>
                  <w:r>
                    <w:rPr>
                      <w:rFonts w:hint="eastAsia" w:ascii="黑体" w:hAnsi="黑体" w:eastAsia="黑体" w:cs="黑体"/>
                      <w:lang w:eastAsia="zh-CN"/>
                    </w:rPr>
                    <w:t>☑</w:t>
                  </w:r>
                  <w:r>
                    <w:rPr>
                      <w:rFonts w:hint="eastAsia"/>
                    </w:rPr>
                    <w:t>漏电保护</w:t>
                  </w:r>
                  <w:r>
                    <w:rPr>
                      <w:rFonts w:hint="eastAsia" w:ascii="黑体" w:hAnsi="黑体" w:eastAsia="黑体" w:cs="黑体"/>
                      <w:lang w:eastAsia="zh-CN"/>
                    </w:rPr>
                    <w:t>☑</w:t>
                  </w:r>
                  <w:r>
                    <w:rPr>
                      <w:rFonts w:hint="eastAsia"/>
                    </w:rPr>
                    <w:t>绝缘用具检测</w:t>
                  </w:r>
                </w:p>
              </w:tc>
              <w:tc>
                <w:tcPr>
                  <w:tcW w:w="2205" w:type="dxa"/>
                  <w:vAlign w:val="top"/>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rPr>
                    <w:t>□除尘装置</w:t>
                  </w:r>
                  <w:r>
                    <w:rPr>
                      <w:rFonts w:hint="eastAsia" w:ascii="黑体" w:hAnsi="黑体" w:eastAsia="黑体" w:cs="黑体"/>
                      <w:lang w:eastAsia="zh-CN"/>
                    </w:rPr>
                    <w:t>☑</w:t>
                  </w:r>
                  <w:r>
                    <w:rPr>
                      <w:rFonts w:hint="eastAsia"/>
                    </w:rPr>
                    <w:t>穿戴劳保用品（防尘面罩）</w:t>
                  </w:r>
                </w:p>
              </w:tc>
              <w:tc>
                <w:tcPr>
                  <w:tcW w:w="2205" w:type="dxa"/>
                  <w:vAlign w:val="top"/>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□设置围堰□排风系统□穿戴劳保用品</w:t>
                  </w:r>
                </w:p>
              </w:tc>
              <w:tc>
                <w:tcPr>
                  <w:tcW w:w="2205" w:type="dxa"/>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jc w:val="left"/>
                  </w:pPr>
                  <w:r>
                    <w:rPr>
                      <w:rFonts w:hint="eastAsia"/>
                    </w:rPr>
                    <w:t>噪声</w:t>
                  </w:r>
                </w:p>
              </w:tc>
              <w:tc>
                <w:tcPr>
                  <w:tcW w:w="4725" w:type="dxa"/>
                  <w:vAlign w:val="top"/>
                </w:tcPr>
                <w:p>
                  <w:pPr>
                    <w:jc w:val="left"/>
                  </w:pPr>
                  <w:r>
                    <w:rPr>
                      <w:rFonts w:hint="eastAsia"/>
                    </w:rPr>
                    <w:t>□空间隔离</w:t>
                  </w:r>
                  <w:r>
                    <w:rPr>
                      <w:rFonts w:hint="eastAsia" w:ascii="黑体" w:hAnsi="黑体" w:eastAsia="黑体" w:cs="黑体"/>
                      <w:lang w:eastAsia="zh-CN"/>
                    </w:rPr>
                    <w:t>☑</w:t>
                  </w:r>
                  <w:r>
                    <w:rPr>
                      <w:rFonts w:hint="eastAsia"/>
                    </w:rPr>
                    <w:t>穿戴劳保用品</w:t>
                  </w:r>
                </w:p>
              </w:tc>
              <w:tc>
                <w:tcPr>
                  <w:tcW w:w="2205" w:type="dxa"/>
                  <w:vAlign w:val="top"/>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ascii="黑体" w:hAnsi="黑体" w:eastAsia="黑体" w:cs="黑体"/>
                      <w:lang w:eastAsia="zh-CN"/>
                    </w:rPr>
                    <w:t>☑</w:t>
                  </w:r>
                  <w:r>
                    <w:rPr>
                      <w:rFonts w:hint="eastAsia"/>
                    </w:rPr>
                    <w:t>定期检测□压力巡视</w:t>
                  </w:r>
                </w:p>
              </w:tc>
              <w:tc>
                <w:tcPr>
                  <w:tcW w:w="2205" w:type="dxa"/>
                  <w:vAlign w:val="top"/>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rPr>
                    <w:t>□减少作业时间□空间隔离□防暑降温用品</w:t>
                  </w:r>
                </w:p>
              </w:tc>
              <w:tc>
                <w:tcPr>
                  <w:tcW w:w="2205" w:type="dxa"/>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jc w:val="left"/>
                  </w:pPr>
                  <w:r>
                    <w:rPr>
                      <w:rFonts w:hint="eastAsia"/>
                    </w:rPr>
                    <w:t>火灾</w:t>
                  </w:r>
                </w:p>
              </w:tc>
              <w:tc>
                <w:tcPr>
                  <w:tcW w:w="4725" w:type="dxa"/>
                  <w:vAlign w:val="top"/>
                </w:tcPr>
                <w:p>
                  <w:pPr>
                    <w:jc w:val="left"/>
                  </w:pPr>
                </w:p>
              </w:tc>
              <w:tc>
                <w:tcPr>
                  <w:tcW w:w="2205" w:type="dxa"/>
                  <w:vAlign w:val="top"/>
                </w:tcPr>
                <w:p>
                  <w:pPr>
                    <w:jc w:val="left"/>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其他</w:t>
                  </w:r>
                </w:p>
              </w:tc>
              <w:tc>
                <w:tcPr>
                  <w:tcW w:w="4725" w:type="dxa"/>
                  <w:vAlign w:val="top"/>
                </w:tcPr>
                <w:p>
                  <w:pPr>
                    <w:jc w:val="left"/>
                  </w:pPr>
                </w:p>
              </w:tc>
              <w:tc>
                <w:tcPr>
                  <w:tcW w:w="2205" w:type="dxa"/>
                  <w:vAlign w:val="top"/>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highlight w:val="none"/>
              </w:rPr>
              <w:t>：</w:t>
            </w:r>
            <w:r>
              <w:rPr>
                <w:rFonts w:hint="eastAsia"/>
                <w:highlight w:val="none"/>
                <w:u w:val="single"/>
              </w:rPr>
              <w:t>固定式压力容器，报告编号：RC-2021-03263-设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日进行了</w:t>
            </w:r>
            <w:r>
              <w:rPr>
                <w:rFonts w:hint="eastAsia"/>
                <w:lang w:eastAsia="zh-CN"/>
              </w:rPr>
              <w:t>火灾</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rPr>
                <w:highlight w:val="none"/>
              </w:rPr>
            </w:pPr>
            <w:r>
              <w:rPr>
                <w:rFonts w:hint="eastAsia"/>
                <w:highlight w:val="none"/>
              </w:rPr>
              <w:t>《作业场所有害物质监测报告》编号：。</w:t>
            </w:r>
          </w:p>
          <w:p>
            <w:r>
              <w:rPr>
                <w:rFonts w:hint="eastAsia"/>
              </w:rPr>
              <w:t>职业病体检：</w:t>
            </w:r>
            <w:r>
              <w:rPr>
                <w:rFonts w:hint="eastAsia" w:ascii="黑体" w:hAnsi="黑体" w:eastAsia="黑体" w:cs="黑体"/>
                <w:lang w:eastAsia="zh-CN"/>
              </w:rPr>
              <w:t>☑</w:t>
            </w:r>
            <w:r>
              <w:rPr>
                <w:rFonts w:hint="eastAsia"/>
              </w:rPr>
              <w:t>入职</w:t>
            </w:r>
            <w:r>
              <w:rPr>
                <w:rFonts w:hint="eastAsia" w:ascii="Wingdings" w:hAnsi="Wingdings"/>
              </w:rPr>
              <w:t>□</w:t>
            </w:r>
            <w:r>
              <w:rPr>
                <w:rFonts w:hint="eastAsia"/>
              </w:rPr>
              <w:t>离职</w:t>
            </w:r>
            <w:r>
              <w:rPr>
                <w:rFonts w:hint="eastAsia" w:ascii="黑体" w:hAnsi="黑体" w:eastAsia="黑体" w:cs="黑体"/>
                <w:lang w:eastAsia="zh-CN"/>
              </w:rPr>
              <w:t>☑</w:t>
            </w:r>
            <w:r>
              <w:rPr>
                <w:rFonts w:hint="eastAsia"/>
              </w:rPr>
              <w:t>在职（定期）</w:t>
            </w:r>
          </w:p>
          <w:p>
            <w:pPr>
              <w:rPr>
                <w:highlight w:val="none"/>
              </w:rPr>
            </w:pPr>
            <w:r>
              <w:rPr>
                <w:rFonts w:hint="eastAsia"/>
                <w:highlight w:val="none"/>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黑体" w:hAnsi="黑体" w:eastAsia="黑体" w:cs="黑体"/>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28-29</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r>
              <w:rPr>
                <w:rFonts w:hint="eastAsia"/>
              </w:rPr>
              <w:t>0</w:t>
            </w:r>
          </w:p>
        </w:tc>
        <w:tc>
          <w:tcPr>
            <w:tcW w:w="768" w:type="dxa"/>
            <w:shd w:val="clear" w:color="auto" w:fill="F2DCDC" w:themeFill="accent2" w:themeFillTint="32"/>
            <w:vAlign w:val="center"/>
          </w:tcPr>
          <w:p>
            <w:pPr>
              <w:rPr>
                <w:lang w:eastAsia="ja-JP"/>
              </w:rPr>
            </w:pPr>
            <w:r>
              <w:rPr>
                <w:rFonts w:hint="eastAsia"/>
              </w:rPr>
              <w:t>0</w:t>
            </w:r>
          </w:p>
        </w:tc>
        <w:tc>
          <w:tcPr>
            <w:tcW w:w="768" w:type="dxa"/>
            <w:shd w:val="clear" w:color="auto" w:fill="F2DCDC" w:themeFill="accent2" w:themeFillTint="32"/>
            <w:vAlign w:val="center"/>
          </w:tcPr>
          <w:p>
            <w:pPr>
              <w:rPr>
                <w:lang w:eastAsia="ja-JP"/>
              </w:rPr>
            </w:pPr>
            <w:r>
              <w:rPr>
                <w:rFonts w:hint="eastAsia"/>
              </w:rPr>
              <w:t>0</w:t>
            </w:r>
          </w:p>
        </w:tc>
        <w:tc>
          <w:tcPr>
            <w:tcW w:w="769" w:type="dxa"/>
            <w:shd w:val="clear" w:color="auto" w:fill="F2DCDC" w:themeFill="accent2" w:themeFillTint="32"/>
            <w:vAlign w:val="center"/>
          </w:tcPr>
          <w:p>
            <w:pPr>
              <w:rPr>
                <w:lang w:eastAsia="ja-JP"/>
              </w:rPr>
            </w:pPr>
            <w:r>
              <w:rPr>
                <w:rFonts w:hint="eastAsia"/>
              </w:rPr>
              <w:t>0</w:t>
            </w:r>
          </w:p>
        </w:tc>
        <w:tc>
          <w:tcPr>
            <w:tcW w:w="768" w:type="dxa"/>
            <w:shd w:val="clear" w:color="auto" w:fill="F2DCDC" w:themeFill="accent2" w:themeFillTint="32"/>
            <w:vAlign w:val="center"/>
          </w:tcPr>
          <w:p>
            <w:pPr>
              <w:rPr>
                <w:lang w:eastAsia="ja-JP"/>
              </w:rPr>
            </w:pPr>
            <w:r>
              <w:rPr>
                <w:rFonts w:hint="eastAsia"/>
              </w:rPr>
              <w:t>0</w:t>
            </w:r>
          </w:p>
        </w:tc>
        <w:tc>
          <w:tcPr>
            <w:tcW w:w="768" w:type="dxa"/>
            <w:shd w:val="clear" w:color="auto" w:fill="F2DCDC" w:themeFill="accent2" w:themeFillTint="32"/>
            <w:vAlign w:val="center"/>
          </w:tcPr>
          <w:p>
            <w:pPr>
              <w:rPr>
                <w:lang w:eastAsia="ja-JP"/>
              </w:rPr>
            </w:pPr>
            <w:r>
              <w:rPr>
                <w:rFonts w:hint="eastAsia"/>
              </w:rPr>
              <w:t>0</w:t>
            </w:r>
          </w:p>
        </w:tc>
        <w:tc>
          <w:tcPr>
            <w:tcW w:w="769" w:type="dxa"/>
            <w:shd w:val="clear" w:color="auto" w:fill="F2DCDC" w:themeFill="accent2" w:themeFillTint="32"/>
            <w:vAlign w:val="center"/>
          </w:tcPr>
          <w:p>
            <w:pPr>
              <w:rPr>
                <w:lang w:eastAsia="ja-JP"/>
              </w:rPr>
            </w:pPr>
            <w:r>
              <w:rPr>
                <w:rFonts w:hint="eastAsia"/>
              </w:rPr>
              <w:t>0</w:t>
            </w:r>
          </w:p>
        </w:tc>
        <w:tc>
          <w:tcPr>
            <w:tcW w:w="768" w:type="dxa"/>
            <w:shd w:val="clear" w:color="auto" w:fill="F2DCDC" w:themeFill="accent2" w:themeFillTint="32"/>
            <w:vAlign w:val="center"/>
          </w:tcPr>
          <w:p>
            <w:pPr>
              <w:rPr>
                <w:lang w:eastAsia="ja-JP"/>
              </w:rPr>
            </w:pPr>
            <w:r>
              <w:rPr>
                <w:rFonts w:hint="eastAsia"/>
              </w:rPr>
              <w:t>0</w:t>
            </w:r>
          </w:p>
        </w:tc>
        <w:tc>
          <w:tcPr>
            <w:tcW w:w="768" w:type="dxa"/>
            <w:shd w:val="clear" w:color="auto" w:fill="F2DCDC" w:themeFill="accent2" w:themeFillTint="32"/>
            <w:vAlign w:val="center"/>
          </w:tcPr>
          <w:p>
            <w:pPr>
              <w:rPr>
                <w:lang w:eastAsia="ja-JP"/>
              </w:rPr>
            </w:pPr>
            <w:r>
              <w:rPr>
                <w:rFonts w:hint="eastAsia"/>
              </w:rPr>
              <w:t>0</w:t>
            </w:r>
          </w:p>
        </w:tc>
        <w:tc>
          <w:tcPr>
            <w:tcW w:w="769" w:type="dxa"/>
            <w:shd w:val="clear" w:color="auto" w:fill="F2DCDC" w:themeFill="accent2" w:themeFillTint="32"/>
            <w:vAlign w:val="center"/>
          </w:tcPr>
          <w:p>
            <w:pPr>
              <w:rPr>
                <w:lang w:eastAsia="ja-JP"/>
              </w:rP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r>
              <w:rPr>
                <w:rFonts w:hint="eastAsia"/>
              </w:rPr>
              <w:t>0</w:t>
            </w:r>
          </w:p>
        </w:tc>
        <w:tc>
          <w:tcPr>
            <w:tcW w:w="768" w:type="dxa"/>
            <w:shd w:val="clear" w:color="auto" w:fill="F2DCDC" w:themeFill="accent2" w:themeFillTint="32"/>
            <w:vAlign w:val="center"/>
          </w:tcPr>
          <w:p>
            <w:pPr>
              <w:rPr>
                <w:lang w:eastAsia="ja-JP"/>
              </w:rPr>
            </w:pPr>
            <w:r>
              <w:rPr>
                <w:rFonts w:hint="eastAsia"/>
              </w:rPr>
              <w:t>0</w:t>
            </w:r>
          </w:p>
        </w:tc>
        <w:tc>
          <w:tcPr>
            <w:tcW w:w="768" w:type="dxa"/>
            <w:shd w:val="clear" w:color="auto" w:fill="F2DCDC" w:themeFill="accent2" w:themeFillTint="32"/>
            <w:vAlign w:val="center"/>
          </w:tcPr>
          <w:p>
            <w:pPr>
              <w:rPr>
                <w:lang w:eastAsia="ja-JP"/>
              </w:rPr>
            </w:pPr>
            <w:r>
              <w:rPr>
                <w:rFonts w:hint="eastAsia"/>
              </w:rPr>
              <w:t>0</w:t>
            </w:r>
          </w:p>
        </w:tc>
        <w:tc>
          <w:tcPr>
            <w:tcW w:w="769" w:type="dxa"/>
            <w:shd w:val="clear" w:color="auto" w:fill="F2DCDC" w:themeFill="accent2" w:themeFillTint="32"/>
            <w:vAlign w:val="center"/>
          </w:tcPr>
          <w:p>
            <w:pPr>
              <w:rPr>
                <w:lang w:eastAsia="ja-JP"/>
              </w:rPr>
            </w:pPr>
            <w:r>
              <w:rPr>
                <w:rFonts w:hint="eastAsia"/>
              </w:rPr>
              <w:t>0</w:t>
            </w:r>
          </w:p>
        </w:tc>
        <w:tc>
          <w:tcPr>
            <w:tcW w:w="768" w:type="dxa"/>
            <w:shd w:val="clear" w:color="auto" w:fill="F2DCDC" w:themeFill="accent2" w:themeFillTint="32"/>
            <w:vAlign w:val="center"/>
          </w:tcPr>
          <w:p>
            <w:pPr>
              <w:rPr>
                <w:lang w:eastAsia="ja-JP"/>
              </w:rPr>
            </w:pPr>
            <w:r>
              <w:rPr>
                <w:rFonts w:hint="eastAsia"/>
              </w:rPr>
              <w:t>0</w:t>
            </w:r>
          </w:p>
        </w:tc>
        <w:tc>
          <w:tcPr>
            <w:tcW w:w="768" w:type="dxa"/>
            <w:shd w:val="clear" w:color="auto" w:fill="F2DCDC" w:themeFill="accent2" w:themeFillTint="32"/>
            <w:vAlign w:val="center"/>
          </w:tcPr>
          <w:p>
            <w:pPr>
              <w:rPr>
                <w:lang w:eastAsia="ja-JP"/>
              </w:rPr>
            </w:pPr>
            <w:r>
              <w:rPr>
                <w:rFonts w:hint="eastAsia"/>
              </w:rPr>
              <w:t>0</w:t>
            </w:r>
          </w:p>
        </w:tc>
        <w:tc>
          <w:tcPr>
            <w:tcW w:w="769" w:type="dxa"/>
            <w:tcBorders>
              <w:bottom w:val="single" w:color="auto" w:sz="4" w:space="0"/>
            </w:tcBorders>
            <w:shd w:val="clear" w:color="auto" w:fill="F2DCDC" w:themeFill="accent2" w:themeFillTint="32"/>
            <w:vAlign w:val="center"/>
          </w:tcPr>
          <w:p>
            <w:pPr>
              <w:rPr>
                <w:lang w:eastAsia="ja-JP"/>
              </w:rPr>
            </w:pPr>
            <w:r>
              <w:rPr>
                <w:rFonts w:hint="eastAsia"/>
              </w:rPr>
              <w:t>0</w:t>
            </w:r>
          </w:p>
        </w:tc>
        <w:tc>
          <w:tcPr>
            <w:tcW w:w="768" w:type="dxa"/>
            <w:tcBorders>
              <w:bottom w:val="single" w:color="auto" w:sz="4" w:space="0"/>
            </w:tcBorders>
            <w:shd w:val="clear" w:color="auto" w:fill="F2DCDC" w:themeFill="accent2" w:themeFillTint="32"/>
            <w:vAlign w:val="center"/>
          </w:tcPr>
          <w:p>
            <w:pPr>
              <w:rPr>
                <w:rFonts w:hint="eastAsia" w:eastAsia="宋体"/>
                <w:lang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r>
              <w:rPr>
                <w:rFonts w:hint="eastAsia"/>
              </w:rPr>
              <w:t>0</w:t>
            </w:r>
          </w:p>
        </w:tc>
        <w:tc>
          <w:tcPr>
            <w:tcW w:w="769" w:type="dxa"/>
            <w:tcBorders>
              <w:bottom w:val="single" w:color="auto" w:sz="4" w:space="0"/>
            </w:tcBorders>
            <w:shd w:val="clear" w:color="auto" w:fill="F2DCDC" w:themeFill="accent2" w:themeFillTint="32"/>
            <w:vAlign w:val="center"/>
          </w:tcPr>
          <w:p>
            <w:pPr>
              <w:rPr>
                <w:lang w:eastAsia="ja-JP"/>
              </w:rP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r>
              <w:rPr>
                <w:rFonts w:hint="eastAsia"/>
              </w:rPr>
              <w:t>0</w:t>
            </w:r>
          </w:p>
        </w:tc>
        <w:tc>
          <w:tcPr>
            <w:tcW w:w="768" w:type="dxa"/>
            <w:shd w:val="clear" w:color="auto" w:fill="F2DCDC" w:themeFill="accent2" w:themeFillTint="32"/>
            <w:vAlign w:val="center"/>
          </w:tcPr>
          <w:p>
            <w:pPr>
              <w:rPr>
                <w:lang w:eastAsia="ja-JP"/>
              </w:rPr>
            </w:pPr>
            <w:r>
              <w:rPr>
                <w:rFonts w:hint="eastAsia"/>
              </w:rPr>
              <w:t>0</w:t>
            </w:r>
          </w:p>
        </w:tc>
        <w:tc>
          <w:tcPr>
            <w:tcW w:w="768" w:type="dxa"/>
            <w:shd w:val="clear" w:color="auto" w:fill="F2DCDC" w:themeFill="accent2" w:themeFillTint="32"/>
            <w:vAlign w:val="center"/>
          </w:tcPr>
          <w:p>
            <w:pPr>
              <w:rPr>
                <w:lang w:eastAsia="ja-JP"/>
              </w:rPr>
            </w:pPr>
            <w:r>
              <w:rPr>
                <w:rFonts w:hint="eastAsia"/>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bookmarkStart w:id="23" w:name="_GoBack"/>
      <w:bookmarkEnd w:id="23"/>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mNDE1OTA0NjMzMTc3MjRkMDFmMDVlMjFhNzg3YjQifQ=="/>
  </w:docVars>
  <w:rsids>
    <w:rsidRoot w:val="00000000"/>
    <w:rsid w:val="003471E1"/>
    <w:rsid w:val="00ED3BD8"/>
    <w:rsid w:val="00F72CA9"/>
    <w:rsid w:val="010D7DD7"/>
    <w:rsid w:val="03CA0201"/>
    <w:rsid w:val="05145BD8"/>
    <w:rsid w:val="05922FA0"/>
    <w:rsid w:val="05B80C59"/>
    <w:rsid w:val="05CF5FA2"/>
    <w:rsid w:val="05E10BE5"/>
    <w:rsid w:val="072D508B"/>
    <w:rsid w:val="077C680D"/>
    <w:rsid w:val="08AA23AF"/>
    <w:rsid w:val="09173EE8"/>
    <w:rsid w:val="09674F8A"/>
    <w:rsid w:val="0A40121D"/>
    <w:rsid w:val="0A444601"/>
    <w:rsid w:val="0A535B50"/>
    <w:rsid w:val="0B226B74"/>
    <w:rsid w:val="0B6E5916"/>
    <w:rsid w:val="0BEA58E4"/>
    <w:rsid w:val="0CE41347"/>
    <w:rsid w:val="0DED5218"/>
    <w:rsid w:val="0DF95DB2"/>
    <w:rsid w:val="0E1D7BE7"/>
    <w:rsid w:val="0E2B5D40"/>
    <w:rsid w:val="0E7E7E86"/>
    <w:rsid w:val="0ED87C76"/>
    <w:rsid w:val="0F5A4B2F"/>
    <w:rsid w:val="10D73F5D"/>
    <w:rsid w:val="11A025A1"/>
    <w:rsid w:val="145B75D5"/>
    <w:rsid w:val="14837BCD"/>
    <w:rsid w:val="155F3D80"/>
    <w:rsid w:val="17730C51"/>
    <w:rsid w:val="18E37943"/>
    <w:rsid w:val="19794F42"/>
    <w:rsid w:val="1A514D80"/>
    <w:rsid w:val="1ADA6C76"/>
    <w:rsid w:val="1B334486"/>
    <w:rsid w:val="1B8D29CC"/>
    <w:rsid w:val="1BEC2FB3"/>
    <w:rsid w:val="1C961170"/>
    <w:rsid w:val="1D886D0B"/>
    <w:rsid w:val="1E004AF3"/>
    <w:rsid w:val="1E1265D5"/>
    <w:rsid w:val="1E4D6B9A"/>
    <w:rsid w:val="1F974FE3"/>
    <w:rsid w:val="1FF13814"/>
    <w:rsid w:val="20340A84"/>
    <w:rsid w:val="2043516B"/>
    <w:rsid w:val="20523600"/>
    <w:rsid w:val="20950B2A"/>
    <w:rsid w:val="22B40E37"/>
    <w:rsid w:val="238D507B"/>
    <w:rsid w:val="240769FB"/>
    <w:rsid w:val="24FC5C76"/>
    <w:rsid w:val="25203CCD"/>
    <w:rsid w:val="25A90C29"/>
    <w:rsid w:val="262D66A1"/>
    <w:rsid w:val="2641214D"/>
    <w:rsid w:val="26DB7EAB"/>
    <w:rsid w:val="277F4CDB"/>
    <w:rsid w:val="27AC35F6"/>
    <w:rsid w:val="28BD7465"/>
    <w:rsid w:val="29194CBB"/>
    <w:rsid w:val="297D19A3"/>
    <w:rsid w:val="2A422128"/>
    <w:rsid w:val="2B193B25"/>
    <w:rsid w:val="2C097269"/>
    <w:rsid w:val="2C1A1178"/>
    <w:rsid w:val="2C5F74E3"/>
    <w:rsid w:val="2CB01DDA"/>
    <w:rsid w:val="2D143124"/>
    <w:rsid w:val="2FC16DE4"/>
    <w:rsid w:val="2FD858D0"/>
    <w:rsid w:val="2FFA3814"/>
    <w:rsid w:val="31DB35D8"/>
    <w:rsid w:val="31F2254D"/>
    <w:rsid w:val="3246371D"/>
    <w:rsid w:val="33095DA0"/>
    <w:rsid w:val="349270D0"/>
    <w:rsid w:val="34D27E5A"/>
    <w:rsid w:val="355D14AF"/>
    <w:rsid w:val="36C4095C"/>
    <w:rsid w:val="36CE17DB"/>
    <w:rsid w:val="373650F3"/>
    <w:rsid w:val="378974B0"/>
    <w:rsid w:val="38107BD1"/>
    <w:rsid w:val="39BF365D"/>
    <w:rsid w:val="3BD45170"/>
    <w:rsid w:val="3C025A83"/>
    <w:rsid w:val="3C996111"/>
    <w:rsid w:val="3E173CFD"/>
    <w:rsid w:val="3EB6242B"/>
    <w:rsid w:val="3F0B4C4E"/>
    <w:rsid w:val="414F52C6"/>
    <w:rsid w:val="41DB2D2B"/>
    <w:rsid w:val="42176A6B"/>
    <w:rsid w:val="424C5CAA"/>
    <w:rsid w:val="438A31BB"/>
    <w:rsid w:val="43EE12FB"/>
    <w:rsid w:val="44116432"/>
    <w:rsid w:val="44185E43"/>
    <w:rsid w:val="44B244EA"/>
    <w:rsid w:val="454669E0"/>
    <w:rsid w:val="45E701C3"/>
    <w:rsid w:val="483F42E6"/>
    <w:rsid w:val="484A2E96"/>
    <w:rsid w:val="498A77E3"/>
    <w:rsid w:val="49B16F8D"/>
    <w:rsid w:val="49E35145"/>
    <w:rsid w:val="4A5676C5"/>
    <w:rsid w:val="4AB16FF2"/>
    <w:rsid w:val="4B215F25"/>
    <w:rsid w:val="4B905D1C"/>
    <w:rsid w:val="4CE76CFB"/>
    <w:rsid w:val="4D0258E3"/>
    <w:rsid w:val="4D243AAB"/>
    <w:rsid w:val="4D6614CB"/>
    <w:rsid w:val="4E8C71C7"/>
    <w:rsid w:val="4F7A3E56"/>
    <w:rsid w:val="510A745C"/>
    <w:rsid w:val="53095C1D"/>
    <w:rsid w:val="531169F3"/>
    <w:rsid w:val="534E5965"/>
    <w:rsid w:val="538733AA"/>
    <w:rsid w:val="56FD753C"/>
    <w:rsid w:val="57297951"/>
    <w:rsid w:val="585039A6"/>
    <w:rsid w:val="59044790"/>
    <w:rsid w:val="5A494B51"/>
    <w:rsid w:val="5B6854AA"/>
    <w:rsid w:val="5C785C47"/>
    <w:rsid w:val="5D245437"/>
    <w:rsid w:val="5E190CDE"/>
    <w:rsid w:val="5E6D230C"/>
    <w:rsid w:val="5E9F5041"/>
    <w:rsid w:val="5F9A7084"/>
    <w:rsid w:val="5FAA1D8F"/>
    <w:rsid w:val="60894CFD"/>
    <w:rsid w:val="60F670B5"/>
    <w:rsid w:val="6146003C"/>
    <w:rsid w:val="61C4414A"/>
    <w:rsid w:val="625978FB"/>
    <w:rsid w:val="62745232"/>
    <w:rsid w:val="63694D45"/>
    <w:rsid w:val="63E853DA"/>
    <w:rsid w:val="64B928D3"/>
    <w:rsid w:val="64CE23D1"/>
    <w:rsid w:val="65493C57"/>
    <w:rsid w:val="65B65064"/>
    <w:rsid w:val="660E6C4E"/>
    <w:rsid w:val="690E2DE0"/>
    <w:rsid w:val="69362744"/>
    <w:rsid w:val="6B076ACC"/>
    <w:rsid w:val="6B80239C"/>
    <w:rsid w:val="6BAE515B"/>
    <w:rsid w:val="6BB564B9"/>
    <w:rsid w:val="6C403A34"/>
    <w:rsid w:val="6C952FB6"/>
    <w:rsid w:val="6CAD0F6F"/>
    <w:rsid w:val="6CE64481"/>
    <w:rsid w:val="6D0019E7"/>
    <w:rsid w:val="6EA840E4"/>
    <w:rsid w:val="6EFA0749"/>
    <w:rsid w:val="6FC3279B"/>
    <w:rsid w:val="706A53C9"/>
    <w:rsid w:val="714D2D21"/>
    <w:rsid w:val="73661E78"/>
    <w:rsid w:val="74561EEC"/>
    <w:rsid w:val="745B7344"/>
    <w:rsid w:val="748A646C"/>
    <w:rsid w:val="75936D7D"/>
    <w:rsid w:val="77EE066B"/>
    <w:rsid w:val="782013CC"/>
    <w:rsid w:val="786C6182"/>
    <w:rsid w:val="790939D1"/>
    <w:rsid w:val="795A422D"/>
    <w:rsid w:val="7960798C"/>
    <w:rsid w:val="7AEF6BF7"/>
    <w:rsid w:val="7B915F00"/>
    <w:rsid w:val="7C286864"/>
    <w:rsid w:val="7C7E46D6"/>
    <w:rsid w:val="7E10135E"/>
    <w:rsid w:val="7E273FED"/>
    <w:rsid w:val="7EAD3AAF"/>
    <w:rsid w:val="7F0C2F67"/>
    <w:rsid w:val="7F126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2022-09-27T06:51:29Z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