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rPr>
              <w:t>过程与活动、</w:t>
            </w:r>
          </w:p>
          <w:p>
            <w:pPr>
              <w:jc w:val="center"/>
              <w:rPr>
                <w:rFonts w:hint="eastAsia" w:ascii="华文细黑" w:hAnsi="华文细黑" w:eastAsia="华文细黑" w:cs="华文细黑"/>
              </w:rPr>
            </w:pPr>
            <w:r>
              <w:rPr>
                <w:rFonts w:hint="eastAsia" w:ascii="华文细黑" w:hAnsi="华文细黑" w:eastAsia="华文细黑" w:cs="华文细黑"/>
                <w:sz w:val="24"/>
                <w:szCs w:val="24"/>
              </w:rPr>
              <w:t>抽样计划</w:t>
            </w:r>
          </w:p>
        </w:tc>
        <w:tc>
          <w:tcPr>
            <w:tcW w:w="998" w:type="dxa"/>
            <w:vMerge w:val="restart"/>
            <w:vAlign w:val="center"/>
          </w:tcPr>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涉及</w:t>
            </w:r>
          </w:p>
          <w:p>
            <w:pPr>
              <w:rPr>
                <w:rFonts w:hint="eastAsia" w:ascii="华文细黑" w:hAnsi="华文细黑" w:eastAsia="华文细黑" w:cs="华文细黑"/>
              </w:rPr>
            </w:pPr>
            <w:r>
              <w:rPr>
                <w:rFonts w:hint="eastAsia" w:ascii="华文细黑" w:hAnsi="华文细黑" w:eastAsia="华文细黑" w:cs="华文细黑"/>
                <w:sz w:val="24"/>
                <w:szCs w:val="24"/>
              </w:rPr>
              <w:t>条款</w:t>
            </w:r>
          </w:p>
        </w:tc>
        <w:tc>
          <w:tcPr>
            <w:tcW w:w="10004" w:type="dxa"/>
            <w:vAlign w:val="center"/>
          </w:tcPr>
          <w:p>
            <w:pPr>
              <w:rPr>
                <w:rFonts w:hint="eastAsia" w:ascii="华文细黑" w:hAnsi="华文细黑" w:eastAsia="华文细黑" w:cs="华文细黑"/>
                <w:sz w:val="24"/>
                <w:szCs w:val="24"/>
                <w:lang w:val="en-US" w:eastAsia="zh-CN"/>
              </w:rPr>
            </w:pPr>
            <w:r>
              <w:rPr>
                <w:rFonts w:hint="eastAsia" w:ascii="华文细黑" w:hAnsi="华文细黑" w:eastAsia="华文细黑" w:cs="华文细黑"/>
                <w:sz w:val="24"/>
                <w:szCs w:val="24"/>
              </w:rPr>
              <w:t>受审核部门：</w:t>
            </w:r>
            <w:r>
              <w:rPr>
                <w:rFonts w:hint="eastAsia" w:ascii="华文细黑" w:hAnsi="华文细黑" w:cs="华文细黑"/>
                <w:sz w:val="24"/>
                <w:szCs w:val="24"/>
                <w:lang w:val="en-US" w:eastAsia="zh-CN"/>
              </w:rPr>
              <w:t>采购部</w:t>
            </w:r>
            <w:r>
              <w:rPr>
                <w:rFonts w:hint="eastAsia" w:ascii="华文细黑" w:hAnsi="华文细黑" w:eastAsia="华文细黑" w:cs="华文细黑"/>
                <w:sz w:val="24"/>
                <w:szCs w:val="24"/>
              </w:rPr>
              <w:t xml:space="preserve">  主管领导：</w:t>
            </w:r>
            <w:r>
              <w:rPr>
                <w:rFonts w:hint="eastAsia" w:ascii="华文细黑" w:hAnsi="华文细黑" w:cs="华文细黑"/>
                <w:sz w:val="24"/>
                <w:szCs w:val="24"/>
                <w:lang w:val="en-US" w:eastAsia="zh-CN"/>
              </w:rPr>
              <w:t>石立烽</w:t>
            </w:r>
            <w:r>
              <w:rPr>
                <w:rFonts w:hint="eastAsia" w:ascii="华文细黑" w:hAnsi="华文细黑" w:eastAsia="华文细黑" w:cs="华文细黑"/>
                <w:sz w:val="24"/>
                <w:szCs w:val="24"/>
              </w:rPr>
              <w:t xml:space="preserve">   陪同人员：</w:t>
            </w:r>
            <w:r>
              <w:rPr>
                <w:rFonts w:hint="eastAsia" w:ascii="华文细黑" w:hAnsi="华文细黑" w:cs="华文细黑"/>
                <w:sz w:val="24"/>
                <w:szCs w:val="24"/>
                <w:lang w:val="en-US" w:eastAsia="zh-CN"/>
              </w:rPr>
              <w:t>赵康</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pPr>
              <w:rPr>
                <w:rFonts w:hint="eastAsia" w:ascii="华文细黑" w:hAnsi="华文细黑" w:eastAsia="华文细黑" w:cs="华文细黑"/>
              </w:rPr>
            </w:pPr>
          </w:p>
        </w:tc>
        <w:tc>
          <w:tcPr>
            <w:tcW w:w="998" w:type="dxa"/>
            <w:vMerge w:val="continue"/>
            <w:vAlign w:val="center"/>
          </w:tcPr>
          <w:p>
            <w:pPr>
              <w:rPr>
                <w:rFonts w:hint="eastAsia" w:ascii="华文细黑" w:hAnsi="华文细黑" w:eastAsia="华文细黑" w:cs="华文细黑"/>
              </w:rPr>
            </w:pPr>
          </w:p>
        </w:tc>
        <w:tc>
          <w:tcPr>
            <w:tcW w:w="10004" w:type="dxa"/>
            <w:vAlign w:val="center"/>
          </w:tcPr>
          <w:p>
            <w:pPr>
              <w:spacing w:before="120"/>
              <w:rPr>
                <w:rFonts w:hint="eastAsia" w:ascii="华文细黑" w:hAnsi="华文细黑" w:eastAsia="华文细黑" w:cs="华文细黑"/>
                <w:lang w:val="en-US"/>
              </w:rPr>
            </w:pPr>
            <w:r>
              <w:rPr>
                <w:rFonts w:hint="eastAsia" w:ascii="华文细黑" w:hAnsi="华文细黑" w:eastAsia="华文细黑" w:cs="华文细黑"/>
              </w:rPr>
              <w:t>审核员：</w:t>
            </w:r>
            <w:r>
              <w:rPr>
                <w:rFonts w:hint="eastAsia" w:ascii="华文细黑" w:hAnsi="华文细黑" w:cs="华文细黑"/>
                <w:lang w:val="en-US" w:eastAsia="zh-CN"/>
              </w:rPr>
              <w:t>余家龙</w:t>
            </w:r>
            <w:r>
              <w:rPr>
                <w:rFonts w:hint="eastAsia" w:ascii="华文细黑" w:hAnsi="华文细黑" w:eastAsia="华文细黑" w:cs="华文细黑"/>
                <w:lang w:val="en-US" w:eastAsia="zh-CN"/>
              </w:rPr>
              <w:t>；</w:t>
            </w:r>
            <w:r>
              <w:rPr>
                <w:rFonts w:hint="eastAsia" w:ascii="华文细黑" w:hAnsi="华文细黑" w:eastAsia="华文细黑" w:cs="华文细黑"/>
              </w:rPr>
              <w:t>审核时间：</w:t>
            </w:r>
            <w:r>
              <w:rPr>
                <w:rFonts w:hint="eastAsia" w:ascii="华文细黑" w:hAnsi="华文细黑" w:eastAsia="华文细黑" w:cs="华文细黑"/>
                <w:lang w:val="en-US" w:eastAsia="zh-CN"/>
              </w:rPr>
              <w:t>2022.9.28 12:30-14:30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pPr>
              <w:rPr>
                <w:rFonts w:hint="eastAsia" w:ascii="华文细黑" w:hAnsi="华文细黑" w:eastAsia="华文细黑" w:cs="华文细黑"/>
              </w:rPr>
            </w:pPr>
          </w:p>
        </w:tc>
        <w:tc>
          <w:tcPr>
            <w:tcW w:w="998" w:type="dxa"/>
            <w:vMerge w:val="continue"/>
            <w:vAlign w:val="center"/>
          </w:tcPr>
          <w:p>
            <w:pPr>
              <w:rPr>
                <w:rFonts w:hint="eastAsia" w:ascii="华文细黑" w:hAnsi="华文细黑" w:eastAsia="华文细黑" w:cs="华文细黑"/>
              </w:rPr>
            </w:pPr>
          </w:p>
        </w:tc>
        <w:tc>
          <w:tcPr>
            <w:tcW w:w="10004" w:type="dxa"/>
            <w:vAlign w:val="center"/>
          </w:tcPr>
          <w:p>
            <w:pPr>
              <w:jc w:val="left"/>
              <w:rPr>
                <w:rFonts w:hint="eastAsia"/>
                <w:b w:val="0"/>
                <w:bCs w:val="0"/>
                <w:sz w:val="21"/>
                <w:szCs w:val="21"/>
                <w:u w:val="none"/>
                <w:lang w:val="en-US" w:eastAsia="zh-CN"/>
              </w:rPr>
            </w:pPr>
            <w:r>
              <w:rPr>
                <w:rFonts w:hint="eastAsia"/>
                <w:b w:val="0"/>
                <w:bCs w:val="0"/>
                <w:sz w:val="21"/>
                <w:szCs w:val="21"/>
                <w:u w:val="none"/>
                <w:lang w:val="en-US" w:eastAsia="zh-CN"/>
              </w:rPr>
              <w:t>审核内容：</w:t>
            </w:r>
          </w:p>
          <w:p>
            <w:pPr>
              <w:numPr>
                <w:ilvl w:val="0"/>
                <w:numId w:val="0"/>
              </w:numPr>
              <w:jc w:val="left"/>
              <w:rPr>
                <w:rFonts w:hint="eastAsia"/>
                <w:b w:val="0"/>
                <w:bCs w:val="0"/>
                <w:sz w:val="21"/>
                <w:szCs w:val="21"/>
                <w:u w:val="none"/>
                <w:lang w:val="en-US" w:eastAsia="zh-CN"/>
              </w:rPr>
            </w:pPr>
            <w:r>
              <w:rPr>
                <w:rFonts w:hint="eastAsia"/>
                <w:b w:val="0"/>
                <w:bCs w:val="0"/>
                <w:sz w:val="21"/>
                <w:szCs w:val="21"/>
                <w:u w:val="none"/>
                <w:lang w:val="en-US" w:eastAsia="zh-CN"/>
              </w:rPr>
              <w:t>1.部门职能与权限；2.目标分解落实情况；3.关注采购的环境和职业健康安全要求以及与外部供方沟通组织的相关环境和职业健康安全要求</w:t>
            </w:r>
          </w:p>
          <w:p>
            <w:pPr>
              <w:numPr>
                <w:ilvl w:val="0"/>
                <w:numId w:val="0"/>
              </w:numPr>
              <w:jc w:val="left"/>
              <w:rPr>
                <w:rFonts w:hint="eastAsia"/>
                <w:b w:val="0"/>
                <w:bCs w:val="0"/>
                <w:sz w:val="21"/>
                <w:szCs w:val="21"/>
                <w:u w:val="none"/>
                <w:lang w:val="en-US" w:eastAsia="zh-CN"/>
              </w:rPr>
            </w:pPr>
            <w:r>
              <w:rPr>
                <w:rFonts w:hint="eastAsia"/>
                <w:b w:val="0"/>
                <w:bCs w:val="0"/>
                <w:sz w:val="21"/>
                <w:szCs w:val="21"/>
                <w:u w:val="none"/>
                <w:lang w:val="en-US" w:eastAsia="zh-CN"/>
              </w:rPr>
              <w:t>涉及条款：</w:t>
            </w:r>
          </w:p>
          <w:p>
            <w:pPr>
              <w:jc w:val="left"/>
              <w:rPr>
                <w:rFonts w:hint="default"/>
                <w:b w:val="0"/>
                <w:bCs w:val="0"/>
                <w:sz w:val="21"/>
                <w:szCs w:val="21"/>
                <w:u w:val="none"/>
                <w:lang w:val="en-US" w:eastAsia="zh-CN"/>
              </w:rPr>
            </w:pPr>
            <w:r>
              <w:rPr>
                <w:rFonts w:hint="eastAsia"/>
                <w:b w:val="0"/>
                <w:bCs w:val="0"/>
                <w:sz w:val="21"/>
                <w:szCs w:val="21"/>
                <w:u w:val="none"/>
                <w:lang w:val="en-US" w:eastAsia="zh-CN"/>
              </w:rPr>
              <w:t>EO：5.3、6.2、8.1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组织的岗位、职责和权限</w:t>
            </w:r>
          </w:p>
          <w:p>
            <w:pPr>
              <w:spacing w:line="280" w:lineRule="exact"/>
              <w:rPr>
                <w:rFonts w:hint="eastAsia" w:ascii="华文细黑" w:hAnsi="华文细黑" w:eastAsia="华文细黑" w:cs="华文细黑"/>
                <w:szCs w:val="21"/>
              </w:rPr>
            </w:pPr>
          </w:p>
        </w:tc>
        <w:tc>
          <w:tcPr>
            <w:tcW w:w="998" w:type="dxa"/>
          </w:tcPr>
          <w:p>
            <w:pPr>
              <w:spacing w:line="280" w:lineRule="exact"/>
              <w:rPr>
                <w:rFonts w:hint="eastAsia" w:ascii="华文细黑" w:hAnsi="华文细黑" w:eastAsia="华文细黑" w:cs="华文细黑"/>
                <w:szCs w:val="21"/>
              </w:rPr>
            </w:pPr>
            <w:r>
              <w:rPr>
                <w:rFonts w:hint="eastAsia" w:ascii="华文细黑" w:hAnsi="华文细黑" w:cs="华文细黑"/>
                <w:szCs w:val="21"/>
                <w:lang w:eastAsia="zh-CN"/>
              </w:rPr>
              <w:t>EO</w:t>
            </w:r>
            <w:r>
              <w:rPr>
                <w:rFonts w:hint="eastAsia" w:ascii="华文细黑" w:hAnsi="华文细黑" w:eastAsia="华文细黑" w:cs="华文细黑"/>
                <w:szCs w:val="21"/>
              </w:rPr>
              <w:t>5.3</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lang w:val="en-US" w:eastAsia="zh-CN"/>
              </w:rPr>
              <w:t>查组织手册，采购部</w:t>
            </w:r>
            <w:r>
              <w:rPr>
                <w:rFonts w:hint="eastAsia" w:ascii="宋体" w:hAnsi="宋体" w:cs="宋体"/>
                <w:szCs w:val="21"/>
              </w:rPr>
              <w:t>职责</w:t>
            </w:r>
            <w:r>
              <w:rPr>
                <w:rFonts w:hint="eastAsia" w:ascii="宋体" w:hAnsi="宋体" w:cs="宋体"/>
                <w:szCs w:val="21"/>
                <w:lang w:val="en-US" w:eastAsia="zh-CN"/>
              </w:rPr>
              <w:t>职责如下</w:t>
            </w:r>
            <w:r>
              <w:rPr>
                <w:rFonts w:hint="eastAsia" w:ascii="宋体" w:hAnsi="宋体" w:cs="宋体"/>
                <w:szCs w:val="21"/>
              </w:rPr>
              <w:t>：</w:t>
            </w:r>
          </w:p>
          <w:p>
            <w:pPr>
              <w:spacing w:line="280" w:lineRule="exact"/>
              <w:ind w:firstLine="420" w:firstLineChars="200"/>
              <w:rPr>
                <w:rFonts w:hint="eastAsia" w:ascii="宋体" w:hAnsi="宋体" w:cs="宋体"/>
                <w:szCs w:val="21"/>
              </w:rPr>
            </w:pPr>
            <w:r>
              <w:rPr>
                <w:rFonts w:hint="eastAsia" w:ascii="宋体" w:hAnsi="宋体" w:cs="宋体"/>
                <w:szCs w:val="21"/>
              </w:rPr>
              <w:t>a)负责本部门环境因素和危险源的识别、评价和控制；</w:t>
            </w:r>
          </w:p>
          <w:p>
            <w:pPr>
              <w:spacing w:line="280" w:lineRule="exact"/>
              <w:ind w:firstLine="420" w:firstLineChars="200"/>
              <w:rPr>
                <w:rFonts w:hint="eastAsia" w:ascii="宋体" w:hAnsi="宋体" w:cs="宋体"/>
                <w:szCs w:val="21"/>
              </w:rPr>
            </w:pPr>
            <w:r>
              <w:rPr>
                <w:rFonts w:hint="eastAsia" w:ascii="宋体" w:hAnsi="宋体" w:cs="宋体"/>
                <w:szCs w:val="21"/>
              </w:rPr>
              <w:t>b)负责本部门工作有关的法律法规和其他要求的获取、评价及实施；</w:t>
            </w:r>
          </w:p>
          <w:p>
            <w:pPr>
              <w:spacing w:line="280" w:lineRule="exact"/>
              <w:ind w:firstLine="420" w:firstLineChars="200"/>
              <w:rPr>
                <w:rFonts w:hint="eastAsia" w:ascii="宋体" w:hAnsi="宋体" w:cs="宋体"/>
                <w:szCs w:val="21"/>
              </w:rPr>
            </w:pPr>
            <w:r>
              <w:rPr>
                <w:rFonts w:hint="eastAsia" w:ascii="宋体" w:hAnsi="宋体" w:cs="宋体"/>
                <w:szCs w:val="21"/>
              </w:rPr>
              <w:t>c)负责原材料采购；</w:t>
            </w:r>
          </w:p>
          <w:p>
            <w:pPr>
              <w:spacing w:line="280" w:lineRule="exact"/>
              <w:ind w:firstLine="420" w:firstLineChars="200"/>
              <w:rPr>
                <w:rFonts w:hint="eastAsia" w:ascii="宋体" w:hAnsi="宋体" w:cs="宋体"/>
                <w:szCs w:val="21"/>
              </w:rPr>
            </w:pPr>
            <w:r>
              <w:rPr>
                <w:rFonts w:hint="eastAsia" w:ascii="宋体" w:hAnsi="宋体" w:cs="宋体"/>
                <w:szCs w:val="21"/>
              </w:rPr>
              <w:t>d)负责与供方沟通，告知公司的环境和职业健康安全要求。</w:t>
            </w:r>
          </w:p>
          <w:p>
            <w:pPr>
              <w:spacing w:line="280" w:lineRule="exact"/>
              <w:ind w:firstLine="420" w:firstLineChars="200"/>
              <w:rPr>
                <w:rFonts w:hint="default" w:ascii="宋体" w:hAnsi="宋体" w:eastAsia="华文细黑" w:cs="宋体"/>
                <w:szCs w:val="21"/>
                <w:lang w:val="en-US" w:eastAsia="zh-CN"/>
              </w:rPr>
            </w:pPr>
            <w:r>
              <w:rPr>
                <w:rFonts w:hint="eastAsia" w:ascii="宋体" w:hAnsi="宋体" w:cs="宋体"/>
                <w:szCs w:val="21"/>
                <w:lang w:val="en-US" w:eastAsia="zh-CN"/>
              </w:rPr>
              <w:t>询问采购部经理石立烽，基本了解其职责与权限，符合要求。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vAlign w:val="top"/>
          </w:tcPr>
          <w:p>
            <w:pPr>
              <w:spacing w:line="280" w:lineRule="exact"/>
              <w:rPr>
                <w:rFonts w:hint="default" w:ascii="华文细黑" w:hAnsi="华文细黑" w:eastAsia="华文细黑" w:cs="华文细黑"/>
                <w:szCs w:val="21"/>
                <w:lang w:val="en-US" w:eastAsia="zh-CN"/>
              </w:rPr>
            </w:pPr>
            <w:bookmarkStart w:id="0" w:name="_GoBack"/>
            <w:bookmarkEnd w:id="0"/>
            <w:r>
              <w:rPr>
                <w:rFonts w:hint="eastAsia" w:ascii="华文细黑" w:hAnsi="华文细黑" w:cs="华文细黑"/>
                <w:szCs w:val="21"/>
                <w:lang w:val="en-US" w:eastAsia="zh-CN"/>
              </w:rPr>
              <w:t>目标分解落实</w:t>
            </w:r>
          </w:p>
        </w:tc>
        <w:tc>
          <w:tcPr>
            <w:tcW w:w="998" w:type="dxa"/>
            <w:vAlign w:val="top"/>
          </w:tcPr>
          <w:p>
            <w:pPr>
              <w:spacing w:line="280" w:lineRule="exact"/>
              <w:rPr>
                <w:rFonts w:hint="default" w:ascii="华文细黑" w:hAnsi="华文细黑" w:eastAsia="华文细黑" w:cs="华文细黑"/>
                <w:szCs w:val="21"/>
                <w:lang w:val="en-US" w:eastAsia="zh-CN"/>
              </w:rPr>
            </w:pPr>
            <w:r>
              <w:rPr>
                <w:rFonts w:hint="eastAsia" w:ascii="华文细黑" w:hAnsi="华文细黑" w:cs="华文细黑"/>
                <w:szCs w:val="21"/>
                <w:lang w:val="en-US" w:eastAsia="zh-CN"/>
              </w:rPr>
              <w:t>EO6.2</w:t>
            </w:r>
          </w:p>
        </w:tc>
        <w:tc>
          <w:tcPr>
            <w:tcW w:w="10004" w:type="dxa"/>
            <w:vAlign w:val="center"/>
          </w:tcPr>
          <w:p>
            <w:pPr>
              <w:snapToGrid w:val="0"/>
              <w:ind w:firstLine="420" w:firstLineChars="200"/>
              <w:rPr>
                <w:rFonts w:hint="eastAsia"/>
                <w:color w:val="auto"/>
                <w:szCs w:val="21"/>
              </w:rPr>
            </w:pPr>
            <w:r>
              <w:rPr>
                <w:rFonts w:hint="eastAsia"/>
                <w:color w:val="auto"/>
                <w:szCs w:val="21"/>
              </w:rPr>
              <w:t>涉及</w:t>
            </w:r>
            <w:r>
              <w:rPr>
                <w:rFonts w:hint="eastAsia"/>
                <w:color w:val="auto"/>
                <w:szCs w:val="21"/>
                <w:lang w:val="en-US" w:eastAsia="zh-CN"/>
              </w:rPr>
              <w:t>采购部</w:t>
            </w:r>
            <w:r>
              <w:rPr>
                <w:rFonts w:hint="eastAsia"/>
                <w:color w:val="auto"/>
                <w:szCs w:val="21"/>
              </w:rPr>
              <w:t>的环境和职业健康安全管理目标及完成情况</w:t>
            </w:r>
            <w:r>
              <w:rPr>
                <w:rFonts w:hint="eastAsia"/>
                <w:color w:val="auto"/>
                <w:szCs w:val="21"/>
                <w:lang w:val="en-US" w:eastAsia="zh-CN"/>
              </w:rPr>
              <w:t>如下</w:t>
            </w:r>
            <w:r>
              <w:rPr>
                <w:rFonts w:hint="eastAsia"/>
                <w:color w:val="auto"/>
                <w:szCs w:val="21"/>
              </w:rPr>
              <w:t>：</w:t>
            </w:r>
          </w:p>
          <w:p>
            <w:pPr>
              <w:snapToGrid w:val="0"/>
              <w:ind w:firstLine="420" w:firstLineChars="200"/>
              <w:rPr>
                <w:rFonts w:hint="eastAsia"/>
                <w:color w:val="auto"/>
                <w:szCs w:val="21"/>
              </w:rPr>
            </w:pPr>
            <w:r>
              <w:drawing>
                <wp:inline distT="0" distB="0" distL="114300" distR="114300">
                  <wp:extent cx="5905500" cy="755650"/>
                  <wp:effectExtent l="0" t="0" r="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905500" cy="755650"/>
                          </a:xfrm>
                          <a:prstGeom prst="rect">
                            <a:avLst/>
                          </a:prstGeom>
                          <a:noFill/>
                          <a:ln>
                            <a:noFill/>
                          </a:ln>
                        </pic:spPr>
                      </pic:pic>
                    </a:graphicData>
                  </a:graphic>
                </wp:inline>
              </w:drawing>
            </w:r>
          </w:p>
          <w:p>
            <w:pPr>
              <w:spacing w:line="280" w:lineRule="exact"/>
              <w:ind w:firstLine="420" w:firstLineChars="200"/>
              <w:rPr>
                <w:rFonts w:hint="eastAsia" w:ascii="宋体" w:hAnsi="宋体" w:cs="宋体"/>
                <w:szCs w:val="21"/>
                <w:lang w:val="en-US" w:eastAsia="zh-CN"/>
              </w:rPr>
            </w:pPr>
            <w:r>
              <w:rPr>
                <w:rFonts w:hint="eastAsia"/>
                <w:color w:val="auto"/>
                <w:szCs w:val="21"/>
              </w:rPr>
              <w:t>目标可测量，与公司方针一致。</w:t>
            </w:r>
            <w:r>
              <w:rPr>
                <w:rFonts w:hint="eastAsia"/>
                <w:color w:val="auto"/>
                <w:szCs w:val="21"/>
                <w:lang w:val="en-US" w:eastAsia="zh-CN"/>
              </w:rPr>
              <w:t>抽查2022年3-6月</w:t>
            </w:r>
            <w:r>
              <w:rPr>
                <w:rFonts w:hint="eastAsia"/>
                <w:color w:val="auto"/>
                <w:szCs w:val="21"/>
              </w:rPr>
              <w:t>提供的数据显示，以上管理目标已全部</w:t>
            </w:r>
            <w:r>
              <w:rPr>
                <w:rFonts w:hint="eastAsia"/>
                <w:color w:val="auto"/>
                <w:szCs w:val="21"/>
                <w:lang w:val="en-US" w:eastAsia="zh-CN"/>
              </w:rPr>
              <w:t>阶段性</w:t>
            </w:r>
            <w:r>
              <w:rPr>
                <w:rFonts w:hint="eastAsia"/>
                <w:color w:val="auto"/>
                <w:szCs w:val="21"/>
              </w:rPr>
              <w:t>完成。</w:t>
            </w:r>
          </w:p>
        </w:tc>
        <w:tc>
          <w:tcPr>
            <w:tcW w:w="1585" w:type="dxa"/>
            <w:vAlign w:val="top"/>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运行策划和控制</w:t>
            </w:r>
          </w:p>
          <w:p>
            <w:pPr>
              <w:spacing w:line="280" w:lineRule="exact"/>
              <w:rPr>
                <w:rFonts w:hint="eastAsia" w:ascii="华文细黑" w:hAnsi="华文细黑" w:eastAsia="华文细黑" w:cs="华文细黑"/>
                <w:b/>
                <w:szCs w:val="21"/>
              </w:rPr>
            </w:pPr>
          </w:p>
        </w:tc>
        <w:tc>
          <w:tcPr>
            <w:tcW w:w="998" w:type="dxa"/>
          </w:tcPr>
          <w:p>
            <w:pPr>
              <w:spacing w:line="280" w:lineRule="exact"/>
              <w:rPr>
                <w:rFonts w:hint="eastAsia" w:ascii="华文细黑" w:hAnsi="华文细黑" w:eastAsia="华文细黑" w:cs="华文细黑"/>
                <w:b/>
                <w:szCs w:val="21"/>
              </w:rPr>
            </w:pPr>
            <w:r>
              <w:rPr>
                <w:rFonts w:hint="eastAsia" w:ascii="华文细黑" w:hAnsi="华文细黑" w:cs="华文细黑"/>
                <w:szCs w:val="21"/>
                <w:lang w:eastAsia="zh-CN"/>
              </w:rPr>
              <w:t>EO</w:t>
            </w:r>
            <w:r>
              <w:rPr>
                <w:rFonts w:hint="eastAsia" w:ascii="华文细黑" w:hAnsi="华文细黑" w:eastAsia="华文细黑" w:cs="华文细黑"/>
                <w:szCs w:val="21"/>
              </w:rPr>
              <w:t>8.1</w:t>
            </w:r>
          </w:p>
        </w:tc>
        <w:tc>
          <w:tcPr>
            <w:tcW w:w="10004" w:type="dxa"/>
            <w:vAlign w:val="center"/>
          </w:tcPr>
          <w:p>
            <w:pPr>
              <w:spacing w:line="280" w:lineRule="exact"/>
              <w:ind w:firstLine="421"/>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组织</w:t>
            </w:r>
            <w:r>
              <w:rPr>
                <w:rFonts w:hint="eastAsia" w:ascii="华文细黑" w:hAnsi="华文细黑" w:eastAsia="华文细黑" w:cs="华文细黑"/>
              </w:rPr>
              <w:t>编制</w:t>
            </w:r>
            <w:r>
              <w:rPr>
                <w:rFonts w:hint="eastAsia" w:ascii="华文细黑" w:hAnsi="华文细黑" w:eastAsia="华文细黑" w:cs="华文细黑"/>
                <w:lang w:val="en-US" w:eastAsia="zh-CN"/>
              </w:rPr>
              <w:t>了</w:t>
            </w:r>
            <w:r>
              <w:rPr>
                <w:rFonts w:hint="eastAsia" w:ascii="华文细黑" w:hAnsi="华文细黑" w:eastAsia="华文细黑" w:cs="华文细黑"/>
              </w:rPr>
              <w:t>与环境、安全管理体系运行控制有关的文件</w:t>
            </w:r>
            <w:r>
              <w:rPr>
                <w:rFonts w:hint="eastAsia" w:ascii="华文细黑" w:hAnsi="华文细黑" w:eastAsia="华文细黑" w:cs="华文细黑"/>
                <w:lang w:val="en-US" w:eastAsia="zh-CN"/>
              </w:rPr>
              <w:t>包括</w:t>
            </w:r>
            <w:r>
              <w:rPr>
                <w:rFonts w:hint="eastAsia" w:ascii="华文细黑" w:hAnsi="华文细黑" w:eastAsia="华文细黑" w:cs="华文细黑"/>
              </w:rPr>
              <w:t>《运行控制程序》等</w:t>
            </w:r>
            <w:r>
              <w:rPr>
                <w:rFonts w:hint="eastAsia" w:ascii="华文细黑" w:hAnsi="华文细黑" w:eastAsia="华文细黑" w:cs="华文细黑"/>
                <w:lang w:eastAsia="zh-CN"/>
              </w:rPr>
              <w:t>，</w:t>
            </w:r>
            <w:r>
              <w:rPr>
                <w:rFonts w:hint="eastAsia" w:ascii="华文细黑" w:hAnsi="华文细黑" w:eastAsia="华文细黑" w:cs="华文细黑"/>
                <w:lang w:val="en-US" w:eastAsia="zh-CN"/>
              </w:rPr>
              <w:t>基本满足策划的要求</w:t>
            </w:r>
            <w:r>
              <w:rPr>
                <w:rFonts w:hint="eastAsia" w:ascii="华文细黑" w:hAnsi="华文细黑" w:eastAsia="华文细黑" w:cs="华文细黑"/>
              </w:rPr>
              <w:t>。</w:t>
            </w:r>
            <w:r>
              <w:rPr>
                <w:rFonts w:hint="eastAsia" w:ascii="华文细黑" w:hAnsi="华文细黑" w:eastAsia="华文细黑" w:cs="华文细黑"/>
                <w:lang w:val="en-US" w:eastAsia="zh-CN"/>
              </w:rPr>
              <w:t>另</w:t>
            </w:r>
            <w:r>
              <w:rPr>
                <w:rFonts w:hint="eastAsia" w:ascii="华文细黑" w:hAnsi="华文细黑" w:cs="华文细黑"/>
                <w:lang w:val="en-US" w:eastAsia="zh-CN"/>
              </w:rPr>
              <w:t>采购部</w:t>
            </w:r>
            <w:r>
              <w:rPr>
                <w:rFonts w:hint="eastAsia" w:ascii="华文细黑" w:hAnsi="华文细黑" w:eastAsia="华文细黑" w:cs="华文细黑"/>
                <w:lang w:val="en-US" w:eastAsia="zh-CN"/>
              </w:rPr>
              <w:t>统筹管理的环境和职业健康安全运行控制情况基本如下：</w:t>
            </w:r>
          </w:p>
          <w:p>
            <w:pPr>
              <w:numPr>
                <w:ilvl w:val="0"/>
                <w:numId w:val="0"/>
              </w:numPr>
              <w:spacing w:line="280" w:lineRule="exact"/>
              <w:ind w:left="420" w:leftChars="0"/>
              <w:jc w:val="left"/>
              <w:rPr>
                <w:rFonts w:hint="eastAsia" w:ascii="华文细黑" w:hAnsi="华文细黑" w:eastAsia="华文细黑" w:cs="华文细黑"/>
                <w:color w:val="auto"/>
              </w:rPr>
            </w:pPr>
            <w:r>
              <w:rPr>
                <w:rFonts w:hint="eastAsia" w:ascii="华文细黑" w:hAnsi="华文细黑" w:eastAsia="华文细黑" w:cs="华文细黑"/>
                <w:color w:val="auto"/>
                <w:lang w:val="en-US" w:eastAsia="zh-CN"/>
              </w:rPr>
              <w:t>1.</w:t>
            </w:r>
            <w:r>
              <w:rPr>
                <w:rFonts w:hint="eastAsia" w:ascii="华文细黑" w:hAnsi="华文细黑" w:eastAsia="华文细黑" w:cs="华文细黑"/>
                <w:color w:val="auto"/>
              </w:rPr>
              <w:t>固废管控</w:t>
            </w:r>
          </w:p>
          <w:p>
            <w:pPr>
              <w:spacing w:line="280" w:lineRule="exact"/>
              <w:ind w:firstLine="420" w:firstLineChars="200"/>
              <w:jc w:val="left"/>
              <w:rPr>
                <w:rFonts w:hint="default" w:ascii="华文细黑" w:hAnsi="华文细黑" w:eastAsia="华文细黑" w:cs="华文细黑"/>
                <w:color w:val="auto"/>
                <w:szCs w:val="21"/>
                <w:lang w:val="en-US" w:eastAsia="zh-CN"/>
              </w:rPr>
            </w:pPr>
            <w:r>
              <w:rPr>
                <w:rFonts w:hint="eastAsia" w:ascii="华文细黑" w:hAnsi="华文细黑" w:cs="华文细黑"/>
                <w:color w:val="auto"/>
                <w:szCs w:val="21"/>
                <w:lang w:val="en-US" w:eastAsia="zh-CN"/>
              </w:rPr>
              <w:t>组织的固废分为一般固废和危险固废。一般固废包括一般生活垃圾和车间废金属边角料及废金属屑渣、焊接搜集的颗粒物；危险固废包括废切削液包装桶、废切削液、除油剂包装桶、废滤芯、污泥、废活性炭。</w:t>
            </w:r>
          </w:p>
          <w:p>
            <w:pPr>
              <w:spacing w:line="280" w:lineRule="exact"/>
              <w:ind w:firstLine="420" w:firstLineChars="200"/>
              <w:jc w:val="left"/>
              <w:rPr>
                <w:rFonts w:hint="default" w:ascii="华文细黑" w:hAnsi="华文细黑" w:eastAsia="华文细黑" w:cs="华文细黑"/>
                <w:color w:val="FF0000"/>
                <w:szCs w:val="21"/>
                <w:lang w:val="en-US" w:eastAsia="zh-CN"/>
              </w:rPr>
            </w:pPr>
            <w:r>
              <w:rPr>
                <w:rFonts w:hint="eastAsia" w:ascii="华文细黑" w:hAnsi="华文细黑" w:cs="华文细黑"/>
                <w:color w:val="auto"/>
                <w:szCs w:val="21"/>
                <w:lang w:val="en-US" w:eastAsia="zh-CN"/>
              </w:rPr>
              <w:t>处置记录见办公室和生产部EO8.1记录</w:t>
            </w:r>
            <w:r>
              <w:rPr>
                <w:rFonts w:hint="eastAsia" w:ascii="华文细黑" w:hAnsi="华文细黑" w:eastAsia="华文细黑" w:cs="华文细黑"/>
                <w:color w:val="auto"/>
                <w:szCs w:val="21"/>
              </w:rPr>
              <w:t>。</w:t>
            </w:r>
          </w:p>
          <w:p>
            <w:pPr>
              <w:spacing w:line="280" w:lineRule="exact"/>
              <w:ind w:firstLine="421"/>
              <w:jc w:val="left"/>
              <w:rPr>
                <w:rFonts w:hint="eastAsia" w:ascii="华文细黑" w:hAnsi="华文细黑" w:eastAsia="华文细黑" w:cs="华文细黑"/>
                <w:color w:val="auto"/>
              </w:rPr>
            </w:pPr>
            <w:r>
              <w:rPr>
                <w:rFonts w:hint="eastAsia" w:ascii="华文细黑" w:hAnsi="华文细黑" w:eastAsia="华文细黑" w:cs="华文细黑"/>
                <w:color w:val="auto"/>
                <w:lang w:val="en-US" w:eastAsia="zh-CN"/>
              </w:rPr>
              <w:t>2.</w:t>
            </w:r>
            <w:r>
              <w:rPr>
                <w:rFonts w:hint="eastAsia" w:ascii="华文细黑" w:hAnsi="华文细黑" w:eastAsia="华文细黑" w:cs="华文细黑"/>
                <w:color w:val="auto"/>
              </w:rPr>
              <w:t>废水管控</w:t>
            </w:r>
          </w:p>
          <w:p>
            <w:pPr>
              <w:spacing w:line="280" w:lineRule="exact"/>
              <w:ind w:firstLine="421"/>
              <w:jc w:val="left"/>
              <w:rPr>
                <w:rFonts w:hint="eastAsia" w:ascii="华文细黑" w:hAnsi="华文细黑" w:eastAsia="华文细黑" w:cs="华文细黑"/>
                <w:color w:val="auto"/>
              </w:rPr>
            </w:pPr>
            <w:r>
              <w:rPr>
                <w:rFonts w:hint="eastAsia" w:ascii="华文细黑" w:hAnsi="华文细黑" w:eastAsia="华文细黑" w:cs="华文细黑"/>
                <w:color w:val="auto"/>
              </w:rPr>
              <w:t>主要生活废水排入政府污水管网统一处理</w:t>
            </w:r>
            <w:r>
              <w:rPr>
                <w:rFonts w:hint="eastAsia" w:ascii="华文细黑" w:hAnsi="华文细黑" w:cs="华文细黑"/>
                <w:color w:val="auto"/>
                <w:lang w:eastAsia="zh-CN"/>
              </w:rPr>
              <w:t>，</w:t>
            </w:r>
            <w:r>
              <w:rPr>
                <w:rFonts w:hint="eastAsia" w:ascii="华文细黑" w:hAnsi="华文细黑" w:cs="华文细黑"/>
                <w:color w:val="auto"/>
                <w:lang w:val="en-US" w:eastAsia="zh-CN"/>
              </w:rPr>
              <w:t>工业废水处理见生产部EO8.1记录</w:t>
            </w:r>
            <w:r>
              <w:rPr>
                <w:rFonts w:hint="eastAsia" w:ascii="华文细黑" w:hAnsi="华文细黑" w:eastAsia="华文细黑" w:cs="华文细黑"/>
                <w:color w:val="auto"/>
              </w:rPr>
              <w:t>。</w:t>
            </w:r>
          </w:p>
          <w:p>
            <w:pPr>
              <w:spacing w:line="280" w:lineRule="exact"/>
              <w:ind w:firstLine="421"/>
              <w:jc w:val="left"/>
              <w:rPr>
                <w:rFonts w:hint="eastAsia" w:ascii="华文细黑" w:hAnsi="华文细黑" w:eastAsia="华文细黑" w:cs="华文细黑"/>
                <w:color w:val="auto"/>
              </w:rPr>
            </w:pPr>
            <w:r>
              <w:rPr>
                <w:rFonts w:hint="eastAsia" w:ascii="华文细黑" w:hAnsi="华文细黑" w:eastAsia="华文细黑" w:cs="华文细黑"/>
                <w:color w:val="auto"/>
                <w:lang w:val="en-US" w:eastAsia="zh-CN"/>
              </w:rPr>
              <w:t>3.</w:t>
            </w:r>
            <w:r>
              <w:rPr>
                <w:rFonts w:hint="eastAsia" w:ascii="华文细黑" w:hAnsi="华文细黑" w:eastAsia="华文细黑" w:cs="华文细黑"/>
                <w:color w:val="auto"/>
              </w:rPr>
              <w:t>废气管控</w:t>
            </w:r>
          </w:p>
          <w:p>
            <w:pPr>
              <w:spacing w:line="280" w:lineRule="exact"/>
              <w:ind w:firstLine="421"/>
              <w:jc w:val="left"/>
              <w:rPr>
                <w:rFonts w:hint="default" w:ascii="华文细黑" w:hAnsi="华文细黑" w:eastAsia="华文细黑" w:cs="华文细黑"/>
                <w:color w:val="auto"/>
                <w:lang w:val="en-US" w:eastAsia="zh-CN"/>
              </w:rPr>
            </w:pPr>
            <w:r>
              <w:rPr>
                <w:rFonts w:hint="eastAsia" w:ascii="华文细黑" w:hAnsi="华文细黑" w:eastAsia="华文细黑" w:cs="华文细黑"/>
                <w:color w:val="auto"/>
              </w:rPr>
              <w:t>办公现场基本无废气排放</w:t>
            </w:r>
            <w:r>
              <w:rPr>
                <w:rFonts w:hint="eastAsia" w:ascii="华文细黑" w:hAnsi="华文细黑" w:cs="华文细黑"/>
                <w:color w:val="auto"/>
                <w:lang w:eastAsia="zh-CN"/>
              </w:rPr>
              <w:t>，</w:t>
            </w:r>
            <w:r>
              <w:rPr>
                <w:rFonts w:hint="eastAsia" w:ascii="华文细黑" w:hAnsi="华文细黑" w:cs="华文细黑"/>
                <w:color w:val="auto"/>
                <w:lang w:val="en-US" w:eastAsia="zh-CN"/>
              </w:rPr>
              <w:t>工艺废气处理见生产部EO8.1记录。</w:t>
            </w:r>
          </w:p>
          <w:p>
            <w:pPr>
              <w:spacing w:line="280" w:lineRule="exact"/>
              <w:ind w:firstLine="421"/>
              <w:jc w:val="left"/>
              <w:rPr>
                <w:rFonts w:hint="eastAsia" w:ascii="华文细黑" w:hAnsi="华文细黑" w:eastAsia="华文细黑" w:cs="华文细黑"/>
                <w:color w:val="auto"/>
              </w:rPr>
            </w:pPr>
            <w:r>
              <w:rPr>
                <w:rFonts w:hint="eastAsia" w:ascii="华文细黑" w:hAnsi="华文细黑" w:eastAsia="华文细黑" w:cs="华文细黑"/>
                <w:color w:val="auto"/>
                <w:lang w:val="en-US" w:eastAsia="zh-CN"/>
              </w:rPr>
              <w:t>4.</w:t>
            </w:r>
            <w:r>
              <w:rPr>
                <w:rFonts w:hint="eastAsia" w:ascii="华文细黑" w:hAnsi="华文细黑" w:eastAsia="华文细黑" w:cs="华文细黑"/>
                <w:color w:val="auto"/>
              </w:rPr>
              <w:t>噪声管控</w:t>
            </w:r>
          </w:p>
          <w:p>
            <w:pPr>
              <w:spacing w:line="280" w:lineRule="exact"/>
              <w:ind w:firstLine="421"/>
              <w:jc w:val="left"/>
              <w:rPr>
                <w:rFonts w:hint="default" w:ascii="华文细黑" w:hAnsi="华文细黑" w:eastAsia="华文细黑" w:cs="华文细黑"/>
                <w:color w:val="auto"/>
                <w:szCs w:val="22"/>
                <w:lang w:val="en-US" w:eastAsia="zh-CN"/>
              </w:rPr>
            </w:pPr>
            <w:r>
              <w:rPr>
                <w:rFonts w:hint="eastAsia" w:ascii="华文细黑" w:hAnsi="华文细黑" w:eastAsia="华文细黑" w:cs="华文细黑"/>
                <w:color w:val="auto"/>
              </w:rPr>
              <w:t>办公噪声主要是复印机运行，噪声较低，采取措施按时清洁保养</w:t>
            </w:r>
            <w:r>
              <w:rPr>
                <w:rFonts w:hint="eastAsia" w:ascii="华文细黑" w:hAnsi="华文细黑" w:cs="华文细黑"/>
                <w:color w:val="auto"/>
                <w:lang w:eastAsia="zh-CN"/>
              </w:rPr>
              <w:t>。</w:t>
            </w:r>
            <w:r>
              <w:rPr>
                <w:rFonts w:hint="eastAsia" w:ascii="华文细黑" w:hAnsi="华文细黑" w:cs="华文细黑"/>
                <w:color w:val="auto"/>
                <w:szCs w:val="22"/>
                <w:lang w:val="en-US" w:eastAsia="zh-CN"/>
              </w:rPr>
              <w:t>车间噪声见生产部EO8.1记录。</w:t>
            </w:r>
          </w:p>
          <w:p>
            <w:pPr>
              <w:numPr>
                <w:ilvl w:val="0"/>
                <w:numId w:val="0"/>
              </w:numPr>
              <w:spacing w:line="280" w:lineRule="exact"/>
              <w:ind w:left="420" w:leftChars="0"/>
              <w:jc w:val="left"/>
              <w:rPr>
                <w:rFonts w:hint="default" w:ascii="华文细黑" w:hAnsi="华文细黑" w:eastAsia="华文细黑" w:cs="华文细黑"/>
                <w:color w:val="auto"/>
                <w:highlight w:val="none"/>
                <w:lang w:val="en-US"/>
              </w:rPr>
            </w:pPr>
            <w:r>
              <w:rPr>
                <w:rFonts w:hint="eastAsia" w:ascii="华文细黑" w:hAnsi="华文细黑" w:eastAsia="华文细黑" w:cs="华文细黑"/>
                <w:color w:val="auto"/>
                <w:szCs w:val="22"/>
                <w:lang w:val="en-US" w:eastAsia="zh-CN"/>
              </w:rPr>
              <w:t>5.职业健康安全</w:t>
            </w:r>
            <w:r>
              <w:rPr>
                <w:rFonts w:hint="eastAsia" w:ascii="华文细黑" w:hAnsi="华文细黑" w:cs="华文细黑"/>
                <w:color w:val="auto"/>
                <w:szCs w:val="22"/>
                <w:lang w:val="en-US" w:eastAsia="zh-CN"/>
              </w:rPr>
              <w:t>防护</w:t>
            </w:r>
          </w:p>
          <w:p>
            <w:pPr>
              <w:pStyle w:val="3"/>
              <w:jc w:val="left"/>
              <w:rPr>
                <w:rFonts w:hint="eastAsia" w:ascii="华文细黑" w:hAnsi="华文细黑" w:cs="华文细黑"/>
                <w:color w:val="auto"/>
                <w:lang w:val="en-US" w:eastAsia="zh-CN"/>
              </w:rPr>
            </w:pPr>
            <w:r>
              <w:rPr>
                <w:rFonts w:hint="eastAsia" w:ascii="华文细黑" w:hAnsi="华文细黑" w:cs="华文细黑"/>
                <w:color w:val="auto"/>
                <w:lang w:val="en-US" w:eastAsia="zh-CN"/>
              </w:rPr>
              <w:t>办公电器</w:t>
            </w:r>
            <w:r>
              <w:rPr>
                <w:rFonts w:hint="eastAsia" w:ascii="华文细黑" w:hAnsi="华文细黑" w:eastAsia="华文细黑" w:cs="华文细黑"/>
                <w:color w:val="auto"/>
              </w:rPr>
              <w:t>不允许私拉乱扔</w:t>
            </w:r>
            <w:r>
              <w:rPr>
                <w:rFonts w:hint="eastAsia" w:ascii="华文细黑" w:hAnsi="华文细黑" w:cs="华文细黑"/>
                <w:color w:val="auto"/>
                <w:lang w:eastAsia="zh-CN"/>
              </w:rPr>
              <w:t>；</w:t>
            </w:r>
            <w:r>
              <w:rPr>
                <w:rFonts w:hint="eastAsia" w:ascii="华文细黑" w:hAnsi="华文细黑" w:eastAsia="华文细黑" w:cs="华文细黑"/>
                <w:color w:val="auto"/>
              </w:rPr>
              <w:t>疫情期间</w:t>
            </w:r>
            <w:r>
              <w:rPr>
                <w:rFonts w:hint="eastAsia" w:ascii="华文细黑" w:hAnsi="华文细黑" w:cs="华文细黑"/>
                <w:color w:val="auto"/>
                <w:lang w:val="en-US" w:eastAsia="zh-CN"/>
              </w:rPr>
              <w:t>按照当地防疫政策要求做核酸，</w:t>
            </w:r>
            <w:r>
              <w:rPr>
                <w:rFonts w:hint="eastAsia" w:ascii="华文细黑" w:hAnsi="华文细黑" w:eastAsia="华文细黑" w:cs="华文细黑"/>
                <w:color w:val="auto"/>
              </w:rPr>
              <w:t>同时做好疫苗接种等工作，进出</w:t>
            </w:r>
            <w:r>
              <w:rPr>
                <w:rFonts w:hint="eastAsia" w:ascii="华文细黑" w:hAnsi="华文细黑" w:cs="华文细黑"/>
                <w:color w:val="auto"/>
                <w:lang w:val="en-US" w:eastAsia="zh-CN"/>
              </w:rPr>
              <w:t>工厂</w:t>
            </w:r>
            <w:r>
              <w:rPr>
                <w:rFonts w:hint="eastAsia" w:ascii="华文细黑" w:hAnsi="华文细黑" w:eastAsia="华文细黑" w:cs="华文细黑"/>
                <w:color w:val="auto"/>
              </w:rPr>
              <w:t>人员进行</w:t>
            </w:r>
            <w:r>
              <w:rPr>
                <w:rFonts w:hint="eastAsia" w:ascii="华文细黑" w:hAnsi="华文细黑" w:cs="华文细黑"/>
                <w:color w:val="auto"/>
                <w:lang w:val="en-US" w:eastAsia="zh-CN"/>
              </w:rPr>
              <w:t>扫码测温</w:t>
            </w:r>
            <w:r>
              <w:rPr>
                <w:rFonts w:hint="eastAsia" w:ascii="华文细黑" w:hAnsi="华文细黑" w:eastAsia="华文细黑" w:cs="华文细黑"/>
                <w:color w:val="auto"/>
              </w:rPr>
              <w:t>登记</w:t>
            </w:r>
            <w:r>
              <w:rPr>
                <w:rFonts w:hint="eastAsia" w:ascii="华文细黑" w:hAnsi="华文细黑" w:cs="华文细黑"/>
                <w:color w:val="auto"/>
                <w:lang w:eastAsia="zh-CN"/>
              </w:rPr>
              <w:t>；</w:t>
            </w:r>
            <w:r>
              <w:rPr>
                <w:rFonts w:hint="eastAsia" w:ascii="华文细黑" w:hAnsi="华文细黑" w:cs="华文细黑"/>
                <w:color w:val="auto"/>
                <w:lang w:val="en-US" w:eastAsia="zh-CN"/>
              </w:rPr>
              <w:t>组织定期</w:t>
            </w:r>
            <w:r>
              <w:rPr>
                <w:rFonts w:hint="eastAsia" w:ascii="华文细黑" w:hAnsi="华文细黑" w:eastAsia="华文细黑" w:cs="华文细黑"/>
                <w:color w:val="auto"/>
              </w:rPr>
              <w:t>给员工发放口罩</w:t>
            </w:r>
            <w:r>
              <w:rPr>
                <w:rFonts w:hint="eastAsia" w:ascii="华文细黑" w:hAnsi="华文细黑" w:cs="华文细黑"/>
                <w:color w:val="auto"/>
                <w:lang w:eastAsia="zh-CN"/>
              </w:rPr>
              <w:t>、</w:t>
            </w:r>
            <w:r>
              <w:rPr>
                <w:rFonts w:hint="eastAsia" w:ascii="华文细黑" w:hAnsi="华文细黑" w:cs="华文细黑"/>
                <w:color w:val="auto"/>
                <w:lang w:val="en-US" w:eastAsia="zh-CN"/>
              </w:rPr>
              <w:t>PU手套、防护罩</w:t>
            </w:r>
            <w:r>
              <w:rPr>
                <w:rFonts w:hint="eastAsia" w:ascii="华文细黑" w:hAnsi="华文细黑" w:eastAsia="华文细黑" w:cs="华文细黑"/>
                <w:color w:val="auto"/>
              </w:rPr>
              <w:t>等劳保用品，</w:t>
            </w:r>
            <w:r>
              <w:rPr>
                <w:rFonts w:hint="eastAsia" w:ascii="华文细黑" w:hAnsi="华文细黑" w:cs="华文细黑"/>
                <w:color w:val="auto"/>
                <w:lang w:val="en-US" w:eastAsia="zh-CN"/>
              </w:rPr>
              <w:t>提供劳动防护用品发放台账。</w:t>
            </w:r>
          </w:p>
          <w:p>
            <w:pPr>
              <w:pStyle w:val="3"/>
              <w:numPr>
                <w:ilvl w:val="0"/>
                <w:numId w:val="0"/>
              </w:numPr>
              <w:ind w:firstLine="420" w:firstLineChars="200"/>
              <w:jc w:val="left"/>
              <w:rPr>
                <w:rFonts w:hint="eastAsia" w:ascii="华文细黑" w:hAnsi="华文细黑" w:cs="华文细黑"/>
                <w:color w:val="auto"/>
                <w:lang w:val="en-US" w:eastAsia="zh-CN"/>
              </w:rPr>
            </w:pPr>
            <w:r>
              <w:rPr>
                <w:rFonts w:hint="eastAsia" w:ascii="华文细黑" w:hAnsi="华文细黑" w:cs="华文细黑"/>
                <w:color w:val="auto"/>
                <w:lang w:val="en-US" w:eastAsia="zh-CN"/>
              </w:rPr>
              <w:t>6.采购的环保和职业健康安全要求</w:t>
            </w:r>
          </w:p>
          <w:p>
            <w:pPr>
              <w:pStyle w:val="3"/>
              <w:numPr>
                <w:ilvl w:val="0"/>
                <w:numId w:val="0"/>
              </w:numPr>
              <w:jc w:val="left"/>
              <w:rPr>
                <w:rFonts w:hint="default" w:ascii="华文细黑" w:hAnsi="华文细黑" w:cs="华文细黑"/>
                <w:color w:val="auto"/>
                <w:lang w:val="en-US" w:eastAsia="zh-CN"/>
              </w:rPr>
            </w:pPr>
            <w:r>
              <w:rPr>
                <w:rFonts w:hint="eastAsia" w:ascii="华文细黑" w:hAnsi="华文细黑" w:cs="华文细黑"/>
                <w:color w:val="auto"/>
                <w:lang w:val="en-US" w:eastAsia="zh-CN"/>
              </w:rPr>
              <w:t xml:space="preserve">    从组织采购部经理石立烽了解到，组织的主要原材料均不涉及重大影响环境因素，生产辅料中的切削液和天然气均属于危险化学品，除审核供方相应的资质外，均要求供方提供相应的MSDS和紧急情况的应对措施建议。具体运行控制见生产部EO8.1记录。</w:t>
            </w:r>
          </w:p>
        </w:tc>
        <w:tc>
          <w:tcPr>
            <w:tcW w:w="1585" w:type="dxa"/>
          </w:tcPr>
          <w:p>
            <w:pPr>
              <w:pStyle w:val="3"/>
              <w:ind w:firstLine="0" w:firstLineChars="0"/>
            </w:pPr>
            <w:r>
              <w:rPr>
                <w:rFonts w:hint="eastAsia"/>
              </w:rPr>
              <w:t>Y</w:t>
            </w:r>
          </w:p>
        </w:tc>
      </w:tr>
    </w:tbl>
    <w:p>
      <w:pPr>
        <w:pStyle w:val="5"/>
      </w:pPr>
      <w:r>
        <w:rPr>
          <w:rFonts w:hint="eastAsia"/>
        </w:rPr>
        <w:t>说明：</w:t>
      </w:r>
      <w:r>
        <w:rPr>
          <w:rFonts w:hint="eastAsia"/>
          <w:lang w:val="en-US" w:eastAsia="zh-CN"/>
        </w:rPr>
        <w:t>符合标注Y，</w:t>
      </w:r>
      <w:r>
        <w:rPr>
          <w:rFonts w:hint="eastAsia"/>
        </w:rPr>
        <w:t>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ind w:firstLine="756" w:firstLineChars="400"/>
      <w:jc w:val="left"/>
    </w:pPr>
    <w:r>
      <w:rPr>
        <w:rStyle w:val="14"/>
        <w:rFonts w:hint="default"/>
        <w:w w:val="90"/>
      </w:rPr>
      <w:t>B</w:t>
    </w:r>
    <w:r>
      <w:rPr>
        <w:rStyle w:val="14"/>
        <w:rFonts w:hint="eastAsia"/>
        <w:w w:val="90"/>
      </w:rPr>
      <w:t>EO</w:t>
    </w:r>
    <w:r>
      <w:rPr>
        <w:rStyle w:val="14"/>
        <w:rFonts w:hint="default"/>
        <w:w w:val="90"/>
      </w:rPr>
      <w:t>ijing Int</w:t>
    </w:r>
    <w:r>
      <w:rPr>
        <w:rStyle w:val="14"/>
        <w:rFonts w:hint="eastAsia"/>
        <w:w w:val="90"/>
      </w:rPr>
      <w:t>EO</w:t>
    </w:r>
    <w:r>
      <w:rPr>
        <w:rStyle w:val="14"/>
        <w:rFonts w:hint="default"/>
        <w:w w:val="90"/>
      </w:rPr>
      <w:t>rnational Standard unit</w:t>
    </w:r>
    <w:r>
      <w:rPr>
        <w:rStyle w:val="14"/>
        <w:rFonts w:hint="eastAsia"/>
        <w:w w:val="90"/>
      </w:rPr>
      <w:t>EO</w:t>
    </w:r>
    <w:r>
      <w:rPr>
        <w:rStyle w:val="14"/>
        <w:rFonts w:hint="default"/>
        <w:w w:val="90"/>
      </w:rPr>
      <w:t>d C</w:t>
    </w:r>
    <w:r>
      <w:rPr>
        <w:rStyle w:val="14"/>
        <w:rFonts w:hint="eastAsia"/>
        <w:w w:val="90"/>
      </w:rPr>
      <w:t>EO</w:t>
    </w:r>
    <w:r>
      <w:rPr>
        <w:rStyle w:val="14"/>
        <w:rFonts w:hint="default"/>
        <w:w w:val="90"/>
      </w:rPr>
      <w:t>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xNmFjM2JiM2E0NTA2NDBlNDc5ZjJlODAzODVlOTAifQ=="/>
  </w:docVars>
  <w:rsids>
    <w:rsidRoot w:val="00814B16"/>
    <w:rsid w:val="00011ABE"/>
    <w:rsid w:val="000476DE"/>
    <w:rsid w:val="00076C21"/>
    <w:rsid w:val="00077C88"/>
    <w:rsid w:val="000A75BA"/>
    <w:rsid w:val="000B0CD5"/>
    <w:rsid w:val="000B6409"/>
    <w:rsid w:val="000C453A"/>
    <w:rsid w:val="000F1325"/>
    <w:rsid w:val="000F14E3"/>
    <w:rsid w:val="00115E0C"/>
    <w:rsid w:val="00121BF2"/>
    <w:rsid w:val="001311B9"/>
    <w:rsid w:val="00133E72"/>
    <w:rsid w:val="00140940"/>
    <w:rsid w:val="00140A69"/>
    <w:rsid w:val="0016036E"/>
    <w:rsid w:val="0017329E"/>
    <w:rsid w:val="001937C7"/>
    <w:rsid w:val="001945D7"/>
    <w:rsid w:val="001A05B6"/>
    <w:rsid w:val="001A3B63"/>
    <w:rsid w:val="001C2319"/>
    <w:rsid w:val="001C57A3"/>
    <w:rsid w:val="001F0E7B"/>
    <w:rsid w:val="002533F4"/>
    <w:rsid w:val="00280E26"/>
    <w:rsid w:val="00287457"/>
    <w:rsid w:val="002B1F69"/>
    <w:rsid w:val="002B36EC"/>
    <w:rsid w:val="002C22A6"/>
    <w:rsid w:val="002C7A45"/>
    <w:rsid w:val="002E14F1"/>
    <w:rsid w:val="002E29A0"/>
    <w:rsid w:val="002E55EA"/>
    <w:rsid w:val="002F05BD"/>
    <w:rsid w:val="003015FB"/>
    <w:rsid w:val="003079AF"/>
    <w:rsid w:val="003273C2"/>
    <w:rsid w:val="003445A0"/>
    <w:rsid w:val="00382525"/>
    <w:rsid w:val="00384FEF"/>
    <w:rsid w:val="00397D3F"/>
    <w:rsid w:val="003C254E"/>
    <w:rsid w:val="003E434A"/>
    <w:rsid w:val="0042030E"/>
    <w:rsid w:val="0043712F"/>
    <w:rsid w:val="004450A7"/>
    <w:rsid w:val="0047490C"/>
    <w:rsid w:val="004819AB"/>
    <w:rsid w:val="004B20B2"/>
    <w:rsid w:val="004D14C1"/>
    <w:rsid w:val="004D6FC5"/>
    <w:rsid w:val="004E6448"/>
    <w:rsid w:val="004E7665"/>
    <w:rsid w:val="004F4E79"/>
    <w:rsid w:val="00503F34"/>
    <w:rsid w:val="005074C4"/>
    <w:rsid w:val="00507E17"/>
    <w:rsid w:val="00516205"/>
    <w:rsid w:val="00532DE5"/>
    <w:rsid w:val="00551E35"/>
    <w:rsid w:val="0056074B"/>
    <w:rsid w:val="00567182"/>
    <w:rsid w:val="005A2330"/>
    <w:rsid w:val="005A23B2"/>
    <w:rsid w:val="005B6C34"/>
    <w:rsid w:val="005D2531"/>
    <w:rsid w:val="005F0BF3"/>
    <w:rsid w:val="00607170"/>
    <w:rsid w:val="00621EA2"/>
    <w:rsid w:val="006256EF"/>
    <w:rsid w:val="00646303"/>
    <w:rsid w:val="0066353B"/>
    <w:rsid w:val="00672093"/>
    <w:rsid w:val="00672CC5"/>
    <w:rsid w:val="00680222"/>
    <w:rsid w:val="006842EC"/>
    <w:rsid w:val="006A75D1"/>
    <w:rsid w:val="006E4E1C"/>
    <w:rsid w:val="006F2650"/>
    <w:rsid w:val="006F2C8A"/>
    <w:rsid w:val="00715292"/>
    <w:rsid w:val="007469D5"/>
    <w:rsid w:val="0075560B"/>
    <w:rsid w:val="00756C63"/>
    <w:rsid w:val="00761387"/>
    <w:rsid w:val="00774749"/>
    <w:rsid w:val="007861D2"/>
    <w:rsid w:val="007A0504"/>
    <w:rsid w:val="007B4E33"/>
    <w:rsid w:val="007C4E24"/>
    <w:rsid w:val="007C5A7D"/>
    <w:rsid w:val="007C6A31"/>
    <w:rsid w:val="007D7CBB"/>
    <w:rsid w:val="007E6050"/>
    <w:rsid w:val="00814B16"/>
    <w:rsid w:val="008242EA"/>
    <w:rsid w:val="008265BB"/>
    <w:rsid w:val="00834CE8"/>
    <w:rsid w:val="0085042B"/>
    <w:rsid w:val="008631F9"/>
    <w:rsid w:val="0088726D"/>
    <w:rsid w:val="00894521"/>
    <w:rsid w:val="008A1509"/>
    <w:rsid w:val="008B3B2F"/>
    <w:rsid w:val="008C01A2"/>
    <w:rsid w:val="008D2E87"/>
    <w:rsid w:val="008D3475"/>
    <w:rsid w:val="0092791F"/>
    <w:rsid w:val="00954D65"/>
    <w:rsid w:val="00955C0E"/>
    <w:rsid w:val="00976860"/>
    <w:rsid w:val="00980972"/>
    <w:rsid w:val="00991AEB"/>
    <w:rsid w:val="009977CF"/>
    <w:rsid w:val="009B1072"/>
    <w:rsid w:val="009E3AE2"/>
    <w:rsid w:val="00A01526"/>
    <w:rsid w:val="00A30F85"/>
    <w:rsid w:val="00A52229"/>
    <w:rsid w:val="00A5728B"/>
    <w:rsid w:val="00A676B7"/>
    <w:rsid w:val="00A76F84"/>
    <w:rsid w:val="00A86196"/>
    <w:rsid w:val="00A94706"/>
    <w:rsid w:val="00AE6698"/>
    <w:rsid w:val="00B007F3"/>
    <w:rsid w:val="00B119B7"/>
    <w:rsid w:val="00B361C1"/>
    <w:rsid w:val="00B531A8"/>
    <w:rsid w:val="00B53B05"/>
    <w:rsid w:val="00B6507C"/>
    <w:rsid w:val="00C277AC"/>
    <w:rsid w:val="00C41F32"/>
    <w:rsid w:val="00C4272D"/>
    <w:rsid w:val="00C44388"/>
    <w:rsid w:val="00C60EB8"/>
    <w:rsid w:val="00C827AA"/>
    <w:rsid w:val="00C856E9"/>
    <w:rsid w:val="00C94573"/>
    <w:rsid w:val="00CA1BE3"/>
    <w:rsid w:val="00CD1E5C"/>
    <w:rsid w:val="00CD4ED7"/>
    <w:rsid w:val="00CD58BC"/>
    <w:rsid w:val="00D05DB2"/>
    <w:rsid w:val="00D10BBD"/>
    <w:rsid w:val="00D41A0A"/>
    <w:rsid w:val="00D6037A"/>
    <w:rsid w:val="00D76E1D"/>
    <w:rsid w:val="00D83619"/>
    <w:rsid w:val="00D937E0"/>
    <w:rsid w:val="00DE1A2C"/>
    <w:rsid w:val="00DE2FCE"/>
    <w:rsid w:val="00DF19AB"/>
    <w:rsid w:val="00E0114F"/>
    <w:rsid w:val="00E11BD3"/>
    <w:rsid w:val="00E17655"/>
    <w:rsid w:val="00E219A3"/>
    <w:rsid w:val="00E41911"/>
    <w:rsid w:val="00E556FE"/>
    <w:rsid w:val="00E944DC"/>
    <w:rsid w:val="00E97654"/>
    <w:rsid w:val="00EA2EA2"/>
    <w:rsid w:val="00EB1A5C"/>
    <w:rsid w:val="00EB6AAC"/>
    <w:rsid w:val="00ED41DC"/>
    <w:rsid w:val="00F01F3E"/>
    <w:rsid w:val="00F05246"/>
    <w:rsid w:val="00F11424"/>
    <w:rsid w:val="00F13731"/>
    <w:rsid w:val="00F43CC1"/>
    <w:rsid w:val="00F5455B"/>
    <w:rsid w:val="00F62C59"/>
    <w:rsid w:val="00F75FE8"/>
    <w:rsid w:val="00F97810"/>
    <w:rsid w:val="00FB5026"/>
    <w:rsid w:val="00FB6FAA"/>
    <w:rsid w:val="00FF0A51"/>
    <w:rsid w:val="00FF1D21"/>
    <w:rsid w:val="01BA61B0"/>
    <w:rsid w:val="01DF16BA"/>
    <w:rsid w:val="02254EC7"/>
    <w:rsid w:val="02586A9A"/>
    <w:rsid w:val="02BC2E4D"/>
    <w:rsid w:val="032D0216"/>
    <w:rsid w:val="03336870"/>
    <w:rsid w:val="03AC52B5"/>
    <w:rsid w:val="04062E89"/>
    <w:rsid w:val="0602013E"/>
    <w:rsid w:val="071B6C1D"/>
    <w:rsid w:val="08A54D99"/>
    <w:rsid w:val="0A755CD1"/>
    <w:rsid w:val="0ACF703A"/>
    <w:rsid w:val="0B1108DD"/>
    <w:rsid w:val="0C976FDA"/>
    <w:rsid w:val="0D2A296F"/>
    <w:rsid w:val="0E4C0412"/>
    <w:rsid w:val="108170F2"/>
    <w:rsid w:val="10D135BB"/>
    <w:rsid w:val="11327424"/>
    <w:rsid w:val="11B844E6"/>
    <w:rsid w:val="125E771B"/>
    <w:rsid w:val="12CE4707"/>
    <w:rsid w:val="13E75902"/>
    <w:rsid w:val="147F4229"/>
    <w:rsid w:val="15E23FCD"/>
    <w:rsid w:val="17191730"/>
    <w:rsid w:val="1723614A"/>
    <w:rsid w:val="19453F9D"/>
    <w:rsid w:val="1A2C1138"/>
    <w:rsid w:val="1A8C571F"/>
    <w:rsid w:val="1AFC6A7B"/>
    <w:rsid w:val="1B9D35F1"/>
    <w:rsid w:val="1CB3762C"/>
    <w:rsid w:val="1D7A0709"/>
    <w:rsid w:val="1D857A55"/>
    <w:rsid w:val="1DCA03FC"/>
    <w:rsid w:val="1F513B5F"/>
    <w:rsid w:val="1F647589"/>
    <w:rsid w:val="205B14EB"/>
    <w:rsid w:val="207565A9"/>
    <w:rsid w:val="20F677A8"/>
    <w:rsid w:val="227B471A"/>
    <w:rsid w:val="23667023"/>
    <w:rsid w:val="23FF4344"/>
    <w:rsid w:val="24575E37"/>
    <w:rsid w:val="24672435"/>
    <w:rsid w:val="249A18B6"/>
    <w:rsid w:val="24BB17FD"/>
    <w:rsid w:val="24DE310F"/>
    <w:rsid w:val="25195A95"/>
    <w:rsid w:val="2524184E"/>
    <w:rsid w:val="26AF6371"/>
    <w:rsid w:val="26D346A5"/>
    <w:rsid w:val="26D6366A"/>
    <w:rsid w:val="2773480C"/>
    <w:rsid w:val="27945E35"/>
    <w:rsid w:val="27991E6D"/>
    <w:rsid w:val="28210959"/>
    <w:rsid w:val="293F05ED"/>
    <w:rsid w:val="2A286D81"/>
    <w:rsid w:val="2B522350"/>
    <w:rsid w:val="2C6F41C6"/>
    <w:rsid w:val="2C7A03CC"/>
    <w:rsid w:val="2D481A7F"/>
    <w:rsid w:val="2DCD0C0E"/>
    <w:rsid w:val="2EE8445D"/>
    <w:rsid w:val="2EEA0C6A"/>
    <w:rsid w:val="2F87606E"/>
    <w:rsid w:val="2F8E774C"/>
    <w:rsid w:val="30F370A1"/>
    <w:rsid w:val="31187669"/>
    <w:rsid w:val="31200DC9"/>
    <w:rsid w:val="34852DCB"/>
    <w:rsid w:val="36E645BD"/>
    <w:rsid w:val="36E9459B"/>
    <w:rsid w:val="3784633D"/>
    <w:rsid w:val="38B86042"/>
    <w:rsid w:val="3BF11971"/>
    <w:rsid w:val="3C7C032F"/>
    <w:rsid w:val="3DD11192"/>
    <w:rsid w:val="3E674D33"/>
    <w:rsid w:val="40200850"/>
    <w:rsid w:val="402E2229"/>
    <w:rsid w:val="4084338A"/>
    <w:rsid w:val="40DE2ABE"/>
    <w:rsid w:val="4190420C"/>
    <w:rsid w:val="41BB3D49"/>
    <w:rsid w:val="42186000"/>
    <w:rsid w:val="43E96A97"/>
    <w:rsid w:val="44534FFF"/>
    <w:rsid w:val="44583C20"/>
    <w:rsid w:val="45FD2E6E"/>
    <w:rsid w:val="46827F5C"/>
    <w:rsid w:val="46A97E54"/>
    <w:rsid w:val="4716126A"/>
    <w:rsid w:val="47CE0EBF"/>
    <w:rsid w:val="49B817A2"/>
    <w:rsid w:val="4A73056F"/>
    <w:rsid w:val="4AC26056"/>
    <w:rsid w:val="4B6A0AC5"/>
    <w:rsid w:val="4BD7353E"/>
    <w:rsid w:val="4CBE661B"/>
    <w:rsid w:val="4CD21F1F"/>
    <w:rsid w:val="4D000E10"/>
    <w:rsid w:val="4DED56EF"/>
    <w:rsid w:val="4F5E395C"/>
    <w:rsid w:val="4FB61711"/>
    <w:rsid w:val="50F66392"/>
    <w:rsid w:val="536C1ECE"/>
    <w:rsid w:val="53901A19"/>
    <w:rsid w:val="539B3F15"/>
    <w:rsid w:val="543B096F"/>
    <w:rsid w:val="552C5634"/>
    <w:rsid w:val="55E55977"/>
    <w:rsid w:val="55E97944"/>
    <w:rsid w:val="55F50192"/>
    <w:rsid w:val="56595281"/>
    <w:rsid w:val="57E379C3"/>
    <w:rsid w:val="57F378C0"/>
    <w:rsid w:val="5A3F58C5"/>
    <w:rsid w:val="5AF85B05"/>
    <w:rsid w:val="5B0E50C4"/>
    <w:rsid w:val="5BF168A5"/>
    <w:rsid w:val="5BFD1BD2"/>
    <w:rsid w:val="5C4C0908"/>
    <w:rsid w:val="5F794766"/>
    <w:rsid w:val="6024201E"/>
    <w:rsid w:val="61513795"/>
    <w:rsid w:val="629767E0"/>
    <w:rsid w:val="63B37A30"/>
    <w:rsid w:val="65B551A7"/>
    <w:rsid w:val="66A77424"/>
    <w:rsid w:val="670B7518"/>
    <w:rsid w:val="67272B19"/>
    <w:rsid w:val="67476E4E"/>
    <w:rsid w:val="67D813EB"/>
    <w:rsid w:val="693F01DF"/>
    <w:rsid w:val="696F23B3"/>
    <w:rsid w:val="6C031950"/>
    <w:rsid w:val="6C11031B"/>
    <w:rsid w:val="6C343791"/>
    <w:rsid w:val="6D3B6417"/>
    <w:rsid w:val="6DA32EA6"/>
    <w:rsid w:val="6DC252F8"/>
    <w:rsid w:val="6DE9025D"/>
    <w:rsid w:val="6E02242C"/>
    <w:rsid w:val="6E271913"/>
    <w:rsid w:val="6E413290"/>
    <w:rsid w:val="70EB475C"/>
    <w:rsid w:val="714B092C"/>
    <w:rsid w:val="72BE2F25"/>
    <w:rsid w:val="72F025D3"/>
    <w:rsid w:val="73364AE8"/>
    <w:rsid w:val="74757AB2"/>
    <w:rsid w:val="747D06DB"/>
    <w:rsid w:val="74D1728E"/>
    <w:rsid w:val="74EB35CA"/>
    <w:rsid w:val="750F1D04"/>
    <w:rsid w:val="755525E9"/>
    <w:rsid w:val="763A1C6A"/>
    <w:rsid w:val="769A7E7D"/>
    <w:rsid w:val="770B1A7F"/>
    <w:rsid w:val="7B0B25F9"/>
    <w:rsid w:val="7B8908A3"/>
    <w:rsid w:val="7C8E5A9B"/>
    <w:rsid w:val="7C9823B4"/>
    <w:rsid w:val="7CB42A53"/>
    <w:rsid w:val="7D0C0A6E"/>
    <w:rsid w:val="7D3443E2"/>
    <w:rsid w:val="7D69080A"/>
    <w:rsid w:val="7E2161C9"/>
    <w:rsid w:val="7E826190"/>
    <w:rsid w:val="7F06359C"/>
    <w:rsid w:val="7FE360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细黑" w:cs="Times New Roman"/>
      <w:kern w:val="2"/>
      <w:sz w:val="21"/>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basedOn w:val="1"/>
    <w:qFormat/>
    <w:uiPriority w:val="0"/>
    <w:pPr>
      <w:spacing w:before="25" w:after="25"/>
    </w:pPr>
    <w:rPr>
      <w:bCs/>
      <w:spacing w:val="10"/>
    </w:rPr>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Char"/>
    <w:basedOn w:val="1"/>
    <w:qFormat/>
    <w:uiPriority w:val="0"/>
    <w:rPr>
      <w:rFonts w:ascii="仿宋_GB2312" w:eastAsia="仿宋_GB2312"/>
      <w:b/>
      <w:sz w:val="32"/>
      <w:szCs w:val="32"/>
    </w:rPr>
  </w:style>
  <w:style w:type="paragraph" w:customStyle="1" w:styleId="16">
    <w:name w:val="_Style 2"/>
    <w:basedOn w:val="1"/>
    <w:qFormat/>
    <w:uiPriority w:val="34"/>
    <w:pPr>
      <w:ind w:firstLine="420" w:firstLineChars="200"/>
    </w:pPr>
    <w:rPr>
      <w:rFonts w:ascii="Calibri" w:hAnsi="Calibri"/>
      <w:sz w:val="24"/>
      <w:szCs w:val="22"/>
    </w:rPr>
  </w:style>
  <w:style w:type="character" w:customStyle="1" w:styleId="17">
    <w:name w:val="boxs"/>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829</Words>
  <Characters>4728</Characters>
  <Lines>39</Lines>
  <Paragraphs>11</Paragraphs>
  <TotalTime>8</TotalTime>
  <ScaleCrop>false</ScaleCrop>
  <LinksUpToDate>false</LinksUpToDate>
  <CharactersWithSpaces>5546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2021-04-29T10:46:00Z</dcterms:created>
  <dc:creator>微软用户</dc:creator>
  <cp:lastModifiedBy>wangxianhua</cp:lastModifiedBy>
  <dcterms:modified xsi:type="dcterms:W3CDTF">2022-09-28T07:01:25Z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621554457884419182C7443C429D7D26</vt:lpwstr>
  </property>
</Properties>
</file>