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0568-2022-Q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襄阳浩正实业有限公司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温红玲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91420600615664698R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襄阳浩正实业有限公司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高压电器控制盒,32MP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a</w:t>
            </w:r>
            <w:r>
              <w:rPr>
                <w:sz w:val="22"/>
                <w:szCs w:val="22"/>
              </w:rPr>
              <w:t>以下液压油缸及液压系统的生产</w:t>
            </w:r>
            <w:bookmarkEnd w:id="19"/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襄阳市襄城区檀溪花木店牌坊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襄阳市襄城区隆中路248号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default" w:cs="Arial"/>
                <w:b/>
                <w:bCs/>
                <w:sz w:val="22"/>
                <w:szCs w:val="16"/>
                <w:lang w:val="en-US"/>
              </w:rPr>
              <w:t>Xiangyang Haozheng Industrial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1"/>
                <w:szCs w:val="16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Electric control box, production and service of hydraulic cylinder and hydraulic system below 32Mpa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default" w:cs="Arial"/>
                <w:b/>
                <w:bCs/>
                <w:sz w:val="22"/>
                <w:szCs w:val="16"/>
                <w:lang w:val="en-US"/>
              </w:rPr>
              <w:t>Tanxi Huamudian Memorial Gateway,Xiangcheng District,Xiangyang City,Hubei Province,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default" w:cs="Arial"/>
                <w:b/>
                <w:bCs/>
                <w:sz w:val="22"/>
                <w:szCs w:val="16"/>
                <w:lang w:val="en-US"/>
              </w:rPr>
              <w:t>No. 248,Longzhong Road,Xiangcheng District,Xiangyang City,Hubei Province,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157F3188"/>
    <w:rsid w:val="3DF102D5"/>
    <w:rsid w:val="58450F69"/>
    <w:rsid w:val="66366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1187</Words>
  <Characters>2069</Characters>
  <Lines>18</Lines>
  <Paragraphs>5</Paragraphs>
  <TotalTime>6</TotalTime>
  <ScaleCrop>false</ScaleCrop>
  <LinksUpToDate>false</LinksUpToDate>
  <CharactersWithSpaces>2272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2022-10-21T22:01:04Z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5E7AA2A4F1044F0B8E0921CB9E8822DD</vt:lpwstr>
  </property>
  <property fmtid="{D5CDD505-2E9C-101B-9397-08002B2CF9AE}" pid="3" name="KSOProductBuildVer">
    <vt:lpwstr>2052-11.1.0.12598</vt:lpwstr>
  </property>
</Properties>
</file>