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10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  <w:szCs w:val="24"/>
              </w:rPr>
              <w:t>温红玲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998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  <w:szCs w:val="24"/>
              </w:rPr>
              <w:t>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杭B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98" w:type="dxa"/>
            <w:gridSpan w:val="3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98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98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襄阳浩正实业有限公司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998" w:type="dxa"/>
            <w:gridSpan w:val="3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2022年09月2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sz w:val="24"/>
              </w:rPr>
              <w:t>日 上午至2022年09月2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</w:rPr>
              <w:t>日 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358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358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4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68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68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68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68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68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68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68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68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68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68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358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1" w:name="_GoBack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55880</wp:posOffset>
                  </wp:positionV>
                  <wp:extent cx="969010" cy="298450"/>
                  <wp:effectExtent l="0" t="0" r="8890" b="6350"/>
                  <wp:wrapNone/>
                  <wp:docPr id="1" name="图片 1" descr="1666414692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6641469209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515" t="145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01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eastAsia="宋体"/>
                <w:b/>
                <w:color w:val="0000FF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41910</wp:posOffset>
                  </wp:positionV>
                  <wp:extent cx="1111250" cy="298450"/>
                  <wp:effectExtent l="0" t="0" r="6350" b="6350"/>
                  <wp:wrapNone/>
                  <wp:docPr id="2" name="图片 2" descr="1666414734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664147345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565633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2022-10-22T06:05:38Z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