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襄阳浩正实业有限公司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杨峰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温红玲  郭杭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1" w:name="审核日期"/>
            <w:r>
              <w:rPr>
                <w:color w:val="000000"/>
              </w:rPr>
              <w:t>2022年09月25日 上午至2022年09月25日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：91420600615664698R </w:t>
            </w:r>
            <w:r>
              <w:rPr>
                <w:rFonts w:hint="eastAsia"/>
                <w:color w:val="000000"/>
                <w:szCs w:val="21"/>
              </w:rPr>
              <w:t>； 有效期：2025年08月03日；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：机械电子产品、电脑控制工程产品、液压机械产品的生产与销售、化工产品（不含危险、监控、易制毒化学品及化学试剂）、橡胶及塑料制品、建筑材料、日用百货、土特产品的批零兼营压力容器销售。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认证申请范围：高压电器控制盒、32MPa以下液压油缸及液压系统的生产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注册地址：襄阳市襄城区檀溪花木店牌坊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经营地址：襄阳市襄城区檀溪花木店牌坊</w:t>
            </w:r>
            <w:r>
              <w:rPr>
                <w:rFonts w:hint="eastAsia"/>
                <w:color w:val="000000"/>
                <w:lang w:val="en-US" w:eastAsia="zh-CN"/>
              </w:rPr>
              <w:t>(详细地址：襄阳市襄城区隆中路248号)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高压电器控制盒：原材料（及标准件）外购→下料→焊接控制盒箱体→油漆→标准件的清点→控制板的制作、组装→调试→标牌、标记→包装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32MPa以下液压油缸：原材料（及标准件）外购→下料→加工→加工零件的清理检验→加工零件的清洗、标准件的清点→组装试验→油漆→标牌、标记→包装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液压系统：原材料（及标准件）外购→下料→油箱焊接→油漆→加工零件的清理检验→油箱及加工零件的清洗、标准件的清点→组装试验→标牌、标记→包装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widowControl/>
              <w:ind w:firstLine="210" w:firstLineChars="10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机械加工过程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bookmarkStart w:id="2" w:name="_GoBack"/>
            <w:r>
              <w:rPr>
                <w:rFonts w:hint="eastAsia"/>
                <w:color w:val="000000"/>
                <w:szCs w:val="18"/>
              </w:rPr>
              <w:t>质量第一、用户至上；恪守信誉、敢于创新。</w:t>
            </w:r>
          </w:p>
          <w:bookmarkEnd w:id="2"/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完成情况（2022.4-2022.8）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顾客满意率≥94分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1次/年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调查回收的顾客满意度分数之和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的平均值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95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产品一次交检合格率≥9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产品一次交检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合格产品数/生产产品总数×100%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9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：8.3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公司依据客户要求和成熟的工艺进行生产，不存在产品和服务的设计和开发过程，故删除ISO9001:2015标准8.3条款，删减此条款不影响公司遵守法规要求和提供客户需求能力的满足；根据公司产品和服务特点，标准除8.3条款以外的所有条款均适用于公司并决定全部予以实施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highlight w:val="none"/>
              </w:rPr>
              <w:t xml:space="preserve"> 确认生产/服务流程</w:t>
            </w:r>
          </w:p>
          <w:p>
            <w:pPr>
              <w:ind w:firstLine="420" w:firstLineChars="200"/>
              <w:rPr>
                <w:color w:val="000000"/>
                <w:highlight w:val="none"/>
                <w:u w:val="singl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与提供流程图不一致，说明： 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质量关键过程（工序）：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焊接、喷漆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</w:rPr>
              <w:t>相关控制参数名称：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焊接</w:t>
            </w:r>
            <w:r>
              <w:rPr>
                <w:rFonts w:hint="eastAsia"/>
                <w:color w:val="000000"/>
                <w:highlight w:val="none"/>
                <w:u w:val="single"/>
              </w:rPr>
              <w:t>电压、电流</w:t>
            </w:r>
            <w:r>
              <w:rPr>
                <w:rFonts w:hint="eastAsia"/>
                <w:color w:val="000000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焊条直径/油漆配比、喷漆压力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highlight w:val="none"/>
                <w:u w:val="single"/>
              </w:rPr>
            </w:pP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需要确认的过程（工序）：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焊接、喷漆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highlight w:val="none"/>
              </w:rPr>
              <w:t>确认的内容：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人员技能、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设备能力、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原料控制、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工艺方法、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客户要求、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国际标准、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国家标准、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行业标准、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地方标准、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企业标准、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□其他：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不</w:t>
            </w:r>
            <w:r>
              <w:rPr>
                <w:rFonts w:hint="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/>
                <w:color w:val="000000"/>
                <w:highlight w:val="none"/>
              </w:rPr>
              <w:t>型式检验；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/>
                <w:color w:val="000000"/>
                <w:highlight w:val="none"/>
              </w:rPr>
              <w:t>型式检验；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型式检验的原因：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□出厂检验与上次的型式检验的结果有较大差异。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质量监督检验部门提出抽检要求。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型式检验报告（证据）1：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highlight w:val="none"/>
              </w:rPr>
              <w:t>报告编号：报告日期：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型式检验报告（证据）2：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highlight w:val="none"/>
              </w:rPr>
              <w:t>报告编号：报告日期：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发生过，说明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95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</w:rPr>
              <w:t>观</w:t>
            </w:r>
            <w:r>
              <w:rPr>
                <w:rFonts w:hint="eastAsia"/>
                <w:color w:val="000000"/>
                <w:highlight w:val="none"/>
              </w:rPr>
              <w:t>察基础设施（生产设备）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摇臂钻床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铣床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平面磨床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锯床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折弯机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攻丝机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运行不完好，说明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卡尺、槽尺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2DF47A8"/>
    <w:rsid w:val="07B57B86"/>
    <w:rsid w:val="30BE2396"/>
    <w:rsid w:val="45B248B7"/>
    <w:rsid w:val="76E81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</TotalTime>
  <ScaleCrop>false</ScaleCrop>
  <LinksUpToDate>false</LinksUpToDate>
  <CharactersWithSpaces>13072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2022-10-22T05:16:02Z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2052-11.1.0.12598</vt:lpwstr>
  </property>
</Properties>
</file>