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受审核部门：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主管领导：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单严旭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陪同人员：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辛文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审核员：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 xml:space="preserve">李俐       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hAnsiTheme="minorEastAsia" w:eastAsiaTheme="minorEastAsia"/>
                <w:sz w:val="21"/>
                <w:szCs w:val="21"/>
              </w:rPr>
              <w:t>审核时间：</w:t>
            </w:r>
            <w:r>
              <w:rPr>
                <w:rFonts w:eastAsiaTheme="minorEastAsia"/>
                <w:sz w:val="21"/>
                <w:szCs w:val="21"/>
              </w:rPr>
              <w:t>202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.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11.1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E5.3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现场询问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负责人，本部门职责主要有：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A.负责本公司产品质量管理工作，将质检工作层层落实，持续改进产品质量，确保产品质量符合规定要求。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B.负责公司原材料进厂，半成品、产品出厂前的质量抽检工作。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C.负责组织编制公司内部的工艺作业指导书，对文件的适用性、合理性，并监督执行。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负责监视和测量装置的控制；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E.</w:t>
            </w:r>
            <w:r>
              <w:rPr>
                <w:sz w:val="21"/>
                <w:szCs w:val="21"/>
              </w:rPr>
              <w:t>负责产品的监视和测量；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F.负责不合格品的控制及</w:t>
            </w:r>
            <w:r>
              <w:rPr>
                <w:rFonts w:hint="eastAsia"/>
                <w:sz w:val="21"/>
                <w:szCs w:val="21"/>
              </w:rPr>
              <w:t>处置</w:t>
            </w:r>
          </w:p>
          <w:p>
            <w:pPr>
              <w:spacing w:beforeLines="30" w:afterLines="30" w:line="288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E6.2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部门主要目标：</w:t>
            </w:r>
          </w:p>
          <w:p>
            <w:pPr>
              <w:pStyle w:val="2"/>
              <w:rPr>
                <w:rFonts w:hAnsiTheme="minorEastAsia" w:eastAsia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5080</wp:posOffset>
                  </wp:positionV>
                  <wp:extent cx="5441950" cy="733425"/>
                  <wp:effectExtent l="0" t="0" r="6350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</w:pPr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考核情况：经查202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1-9月</w:t>
            </w:r>
            <w:r>
              <w:rPr>
                <w:rFonts w:hAnsiTheme="minorEastAsia" w:eastAsiaTheme="minorEastAsia"/>
                <w:sz w:val="21"/>
                <w:szCs w:val="21"/>
              </w:rPr>
              <w:t>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环境因素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hAnsiTheme="minorEastAsia" w:eastAsiaTheme="minorEastAsia"/>
                <w:sz w:val="21"/>
                <w:szCs w:val="21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E6.1.2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 w:val="21"/>
                <w:szCs w:val="21"/>
              </w:rPr>
              <w:t>,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1"/>
                <w:szCs w:val="21"/>
              </w:rPr>
              <w:t>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1"/>
                <w:szCs w:val="21"/>
              </w:rPr>
              <w:t>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环境因素识别评价汇总表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，识别了本部门在办公、检验等各有关过程的环境因素，包括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意外火灾、固体废弃物排放、生活垃圾的废弃、废水排放、电能的消耗</w:t>
            </w:r>
            <w:r>
              <w:rPr>
                <w:rFonts w:hAnsiTheme="minorEastAsia" w:eastAsiaTheme="minorEastAsia"/>
                <w:sz w:val="21"/>
                <w:szCs w:val="21"/>
              </w:rPr>
              <w:t>等环境因素，识别时能考虑产品生命周期观点。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查《重要环境因素清单》，涉及质检部有</w:t>
            </w:r>
            <w:r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项重要环境因素，包括：潜在火灾、固体废弃物的排放。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控制措施：固废分类存放、垃圾等由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AnsiTheme="minorEastAsia" w:eastAsiaTheme="minorEastAsia"/>
                <w:sz w:val="21"/>
                <w:szCs w:val="21"/>
              </w:rPr>
              <w:t>负责按规定处置，包装物分类卖掉，日常检查、培训教育，配备有消防器材、制定应急预案等措施。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E8.1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pStyle w:val="4"/>
              <w:bidi w:val="0"/>
              <w:spacing w:line="360" w:lineRule="auto"/>
              <w:rPr>
                <w:rFonts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检验人员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正在进行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b w:val="0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穿戴手套、口罩、工作服等防护用品进行作业，检验设备主要为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自动加压混凝土抗渗仪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电子天平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电子配料秤、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恒温恒温标准养护箱、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回弹仪、砂浆凝结时间测定仪、全自动双表面积测定仪等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，询问相关员工安全意识及作业要求，经过了培训相关安全意识及作业培训，能熟练回答相关要求，与作业要求及注意事项一致，能知悉工作中相关的主要危险源及防护要求。查看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区域内另有干燥箱、节能炉等检验设备，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现场电线布线合理，电线均处于完好状态，状态良好，电器有漏电保护器，经常对电路、电源进行检查，没有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漏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E8.2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</w:tcPr>
          <w:p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机械伤害应急预案等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实验室全体人员参加了由综合部举行应急演练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见综合部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详细过程记录。</w:t>
            </w:r>
          </w:p>
          <w:p>
            <w:pPr>
              <w:pStyle w:val="17"/>
              <w:ind w:firstLine="230" w:firstLineChars="1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</w:tbl>
    <w:p>
      <w:pPr>
        <w:rPr>
          <w:rFonts w:eastAsiaTheme="minorEastAsia"/>
          <w:sz w:val="21"/>
          <w:szCs w:val="21"/>
        </w:rPr>
      </w:pPr>
      <w:r>
        <w:rPr>
          <w:rFonts w:hAnsiTheme="minorEastAsia" w:eastAsiaTheme="minorEastAsia"/>
          <w:sz w:val="21"/>
          <w:szCs w:val="21"/>
        </w:rPr>
        <w:t>说明：不符合标注</w:t>
      </w:r>
      <w:r>
        <w:rPr>
          <w:rFonts w:eastAsiaTheme="minorEastAsia"/>
          <w:sz w:val="21"/>
          <w:szCs w:val="21"/>
        </w:rPr>
        <w:t>N</w:t>
      </w:r>
    </w:p>
    <w:p>
      <w:pPr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060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受审核部门：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</w:rPr>
              <w:t>主管领导：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单严旭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AnsiTheme="minorEastAsia" w:eastAsiaTheme="minorEastAsia"/>
                <w:sz w:val="21"/>
                <w:szCs w:val="21"/>
              </w:rPr>
              <w:t>陪同人员：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辛文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李俐   郭力(被见证)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微信视频、语音、群沟通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606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: 5.3组织的岗位、职责和权限、6.2环境目标、6.1.2环境因素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O5.3</w:t>
            </w:r>
          </w:p>
        </w:tc>
        <w:tc>
          <w:tcPr>
            <w:tcW w:w="10606" w:type="dxa"/>
          </w:tcPr>
          <w:p>
            <w:pPr>
              <w:rPr>
                <w:rFonts w:hint="eastAsia"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现场询问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负责人，本部门职责主要有：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负责本公司产品质量管理工作，将质检工作层层落实，持续改进产品质量，确保产品质量符合规定要求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负责公司原材料进厂，半成品、产品出厂前的质量抽检工作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负责组织编制公司内部的工艺作业指导书，对文件的适用性、合理性，并监督执行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负责监视和测量装置的控制；负责产品的监视和测量；负责不合格品的控制及</w:t>
            </w:r>
            <w:r>
              <w:rPr>
                <w:rFonts w:hint="eastAsia"/>
                <w:sz w:val="21"/>
                <w:szCs w:val="21"/>
              </w:rPr>
              <w:t>处置</w:t>
            </w:r>
          </w:p>
          <w:p>
            <w:pPr>
              <w:spacing w:beforeLines="30" w:afterLines="30" w:line="288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2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O6.2</w:t>
            </w:r>
          </w:p>
        </w:tc>
        <w:tc>
          <w:tcPr>
            <w:tcW w:w="10606" w:type="dxa"/>
            <w:vAlign w:val="center"/>
          </w:tcPr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部门主要目标：</w:t>
            </w:r>
          </w:p>
          <w:p>
            <w:pPr>
              <w:pStyle w:val="2"/>
              <w:rPr>
                <w:rFonts w:hAnsiTheme="minorEastAsia" w:eastAsia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5080</wp:posOffset>
                  </wp:positionV>
                  <wp:extent cx="4925060" cy="733425"/>
                  <wp:effectExtent l="0" t="0" r="2540" b="317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0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</w:pPr>
            <w:bookmarkStart w:id="0" w:name="_GoBack"/>
            <w:bookmarkEnd w:id="0"/>
          </w:p>
          <w:p>
            <w:pPr>
              <w:spacing w:beforeLines="30" w:afterLines="30" w:line="288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考核情况：经查202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1-9月</w:t>
            </w:r>
            <w:r>
              <w:rPr>
                <w:rFonts w:hAnsiTheme="minorEastAsia" w:eastAsiaTheme="minorEastAsia"/>
                <w:sz w:val="21"/>
                <w:szCs w:val="21"/>
              </w:rPr>
              <w:t>环境\职业健康安全目标分解考核表，各目标达成要求。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环境因素</w:t>
            </w:r>
            <w:r>
              <w:rPr>
                <w:rFonts w:eastAsiaTheme="minorEastAsia"/>
                <w:sz w:val="21"/>
                <w:szCs w:val="21"/>
              </w:rPr>
              <w:t>/</w:t>
            </w:r>
            <w:r>
              <w:rPr>
                <w:rFonts w:hAnsiTheme="minorEastAsia" w:eastAsiaTheme="minorEastAsia"/>
                <w:sz w:val="21"/>
                <w:szCs w:val="21"/>
              </w:rPr>
              <w:t>危险源辨识与评价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</w:p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O6.1.2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查有：《环境因素和危险源识别评价与控制程序》</w:t>
            </w:r>
            <w:r>
              <w:rPr>
                <w:rFonts w:eastAsiaTheme="minorEastAsia"/>
                <w:sz w:val="21"/>
                <w:szCs w:val="21"/>
              </w:rPr>
              <w:t>,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AnsiTheme="minorEastAsia" w:eastAsiaTheme="minorEastAsia"/>
                <w:sz w:val="21"/>
                <w:szCs w:val="21"/>
              </w:rPr>
              <w:t>按照办公过程和检验过程对环境因素、危险源进行了辨识，辨识时考虑了三种时态：过去、现在和将来，和三种状态：正常、异常和紧急。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查质检部的</w:t>
            </w:r>
            <w:r>
              <w:rPr>
                <w:rFonts w:eastAsiaTheme="minorEastAsia"/>
                <w:sz w:val="21"/>
                <w:szCs w:val="21"/>
              </w:rPr>
              <w:t>“</w:t>
            </w:r>
            <w:r>
              <w:rPr>
                <w:rFonts w:hAnsiTheme="minorEastAsia" w:eastAsiaTheme="minorEastAsia"/>
                <w:sz w:val="21"/>
                <w:szCs w:val="21"/>
              </w:rPr>
              <w:t>危险源识别及风险评价表</w:t>
            </w:r>
            <w:r>
              <w:rPr>
                <w:rFonts w:eastAsiaTheme="minorEastAsia"/>
                <w:sz w:val="21"/>
                <w:szCs w:val="21"/>
              </w:rPr>
              <w:t>”</w:t>
            </w:r>
            <w:r>
              <w:rPr>
                <w:rFonts w:hAnsiTheme="minorEastAsia" w:eastAsiaTheme="minorEastAsia"/>
                <w:sz w:val="21"/>
                <w:szCs w:val="21"/>
              </w:rPr>
              <w:t>，识别了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办公用电不当触电、热水烫伤、意外伤害、火灾</w:t>
            </w:r>
            <w:r>
              <w:rPr>
                <w:rFonts w:hAnsiTheme="minorEastAsia" w:eastAsiaTheme="minorEastAsia"/>
                <w:sz w:val="21"/>
                <w:szCs w:val="21"/>
              </w:rPr>
              <w:t>等危险源。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查《不可接受风险清单》，涉及本部门的有</w:t>
            </w:r>
            <w:r>
              <w:rPr>
                <w:rFonts w:hint="eastAsia" w:eastAsiaTheme="minorEastAsia"/>
                <w:sz w:val="21"/>
                <w:szCs w:val="21"/>
              </w:rPr>
              <w:t>2</w:t>
            </w:r>
            <w:r>
              <w:rPr>
                <w:rFonts w:hAnsiTheme="minorEastAsia" w:eastAsiaTheme="minorEastAsia"/>
                <w:sz w:val="21"/>
                <w:szCs w:val="21"/>
              </w:rPr>
              <w:t>个不可接受风险，包括：潜在火灾、触电事故发生。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运行策划和控制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O8.1</w:t>
            </w:r>
          </w:p>
        </w:tc>
        <w:tc>
          <w:tcPr>
            <w:tcW w:w="10606" w:type="dxa"/>
          </w:tcPr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公司制定并实施了运行控制程序、消防控制程序、噪声控制程序、废弃物控制程序、应急准备和响应控制程序、化学品油品控制程序、劳动防护用品控制程序、安全生产管理制度、设备管理制度、员工职业健康及劳动保护管理规定、应急预案等职业健康安全控制程序和管理制度。</w:t>
            </w:r>
          </w:p>
          <w:p>
            <w:pPr>
              <w:pStyle w:val="4"/>
              <w:bidi w:val="0"/>
              <w:spacing w:line="360" w:lineRule="auto"/>
              <w:rPr>
                <w:rFonts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检验人员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正在进行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b w:val="0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穿戴手套、口罩、工作服等防护用品进行作业，检验设备主要为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自动加压混凝土抗渗仪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电子天平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电子配料秤、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恒温恒温标准养护箱、</w:t>
            </w:r>
            <w:r>
              <w:rPr>
                <w:b w:val="0"/>
                <w:bCs/>
                <w:sz w:val="21"/>
                <w:szCs w:val="21"/>
              </w:rPr>
              <w:t>干混砂浆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回弹仪、砂浆凝结时间测定仪、全自动双表面积测定仪等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，询问相关员工安全意识及作业要求，经过了培训相关安全意识及作业培训，能熟练回答相关要求，与作业要求及注意事项一致，能知悉工作中相关的主要危险源及防护要求。查看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区域内另有干燥箱、节能炉等检验设备，</w:t>
            </w:r>
            <w:r>
              <w:rPr>
                <w:rFonts w:hint="eastAsia" w:hAnsiTheme="minorEastAsia" w:eastAsiaTheme="minorEastAsia"/>
                <w:b w:val="0"/>
                <w:bCs/>
                <w:color w:val="auto"/>
                <w:sz w:val="21"/>
                <w:szCs w:val="21"/>
              </w:rPr>
              <w:t>各设备设施安装稳固，有安全警示标识，风险告知，设备运行噪音轻微，制订了相关作业指导书及注意事项。区域内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现场电线布线合理，电线均处于完好状态，状态良好，电器有漏电保护器，经常对电路、电源进行检查，没有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漏</w:t>
            </w:r>
            <w:r>
              <w:rPr>
                <w:rFonts w:hint="eastAsia" w:eastAsiaTheme="minorEastAsia"/>
                <w:b w:val="0"/>
                <w:bCs/>
                <w:color w:val="auto"/>
                <w:sz w:val="21"/>
                <w:szCs w:val="21"/>
              </w:rPr>
              <w:t>电现象发生。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员工饮用水为纯净水通过饮水机饮用。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员工到车间检验时注意滑倒、碰伤、机械伤害、坠落，遵守车间的环保和安全管理制度，禁止吸烟，穿戴劳保用品。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应急准备和响应</w:t>
            </w:r>
          </w:p>
        </w:tc>
        <w:tc>
          <w:tcPr>
            <w:tcW w:w="1276" w:type="dxa"/>
          </w:tcPr>
          <w:p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O8.2</w:t>
            </w:r>
          </w:p>
        </w:tc>
        <w:tc>
          <w:tcPr>
            <w:tcW w:w="10606" w:type="dxa"/>
          </w:tcPr>
          <w:p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机械伤害应急预案等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实验室全体人员参加了由综合部举行应急演练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见综合部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详细过程记录。</w:t>
            </w:r>
          </w:p>
          <w:p>
            <w:pPr>
              <w:pStyle w:val="17"/>
              <w:ind w:firstLine="230" w:firstLineChars="10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》，通过视频看到公司已经恢复生产，员工佩带口罩在岗位上操作，进出厂区测量体温，严格按政府和预案的要求执行。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highlight w:val="yellow"/>
              </w:rPr>
            </w:pPr>
            <w:r>
              <w:rPr>
                <w:rFonts w:eastAsiaTheme="minorEastAsia"/>
                <w:sz w:val="21"/>
                <w:szCs w:val="21"/>
              </w:rPr>
              <w:t>符合</w:t>
            </w:r>
          </w:p>
        </w:tc>
      </w:tr>
    </w:tbl>
    <w:p>
      <w:pPr>
        <w:rPr>
          <w:rFonts w:eastAsiaTheme="minorEastAsia"/>
          <w:sz w:val="21"/>
          <w:szCs w:val="21"/>
        </w:rPr>
      </w:pPr>
      <w:r>
        <w:rPr>
          <w:rFonts w:hAnsiTheme="minorEastAsia" w:eastAsiaTheme="minorEastAsia"/>
          <w:sz w:val="21"/>
          <w:szCs w:val="21"/>
        </w:rPr>
        <w:t>说明：不符合标注</w:t>
      </w:r>
      <w:r>
        <w:rPr>
          <w:rFonts w:eastAsiaTheme="minorEastAsia"/>
          <w:sz w:val="21"/>
          <w:szCs w:val="21"/>
        </w:rPr>
        <w:t>N</w:t>
      </w:r>
    </w:p>
    <w:p>
      <w:pPr>
        <w:rPr>
          <w:sz w:val="21"/>
          <w:szCs w:val="21"/>
        </w:rPr>
      </w:pPr>
    </w:p>
    <w:p>
      <w:pPr>
        <w:pStyle w:val="2"/>
      </w:pPr>
    </w:p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3D6C25"/>
    <w:rsid w:val="049A5E25"/>
    <w:rsid w:val="057332A8"/>
    <w:rsid w:val="06E7146D"/>
    <w:rsid w:val="0BC47C2C"/>
    <w:rsid w:val="0CDC61FC"/>
    <w:rsid w:val="0D780392"/>
    <w:rsid w:val="0F865924"/>
    <w:rsid w:val="10E70644"/>
    <w:rsid w:val="111E393A"/>
    <w:rsid w:val="122338FE"/>
    <w:rsid w:val="150579F2"/>
    <w:rsid w:val="15AD04C1"/>
    <w:rsid w:val="166E4F6A"/>
    <w:rsid w:val="17996408"/>
    <w:rsid w:val="190776E2"/>
    <w:rsid w:val="1D816169"/>
    <w:rsid w:val="1E37603B"/>
    <w:rsid w:val="224A458F"/>
    <w:rsid w:val="254E4396"/>
    <w:rsid w:val="27E86D24"/>
    <w:rsid w:val="2BE55328"/>
    <w:rsid w:val="2D872B3B"/>
    <w:rsid w:val="2E684101"/>
    <w:rsid w:val="377C1237"/>
    <w:rsid w:val="389B2E22"/>
    <w:rsid w:val="38AC5B4C"/>
    <w:rsid w:val="39AD0219"/>
    <w:rsid w:val="3BFF39BF"/>
    <w:rsid w:val="3D6F17D9"/>
    <w:rsid w:val="3F095C2B"/>
    <w:rsid w:val="432E715D"/>
    <w:rsid w:val="48220A60"/>
    <w:rsid w:val="4A9B30F8"/>
    <w:rsid w:val="4B125CE2"/>
    <w:rsid w:val="5CF243B1"/>
    <w:rsid w:val="5F3C1128"/>
    <w:rsid w:val="647E5D3F"/>
    <w:rsid w:val="64BC23C3"/>
    <w:rsid w:val="6545060B"/>
    <w:rsid w:val="66A5125B"/>
    <w:rsid w:val="68A235FA"/>
    <w:rsid w:val="725B146D"/>
    <w:rsid w:val="74BB20D6"/>
    <w:rsid w:val="7530098F"/>
    <w:rsid w:val="782F6799"/>
    <w:rsid w:val="7C88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paragraph" w:styleId="4">
    <w:name w:val="heading 3"/>
    <w:basedOn w:val="1"/>
    <w:next w:val="1"/>
    <w:qFormat/>
    <w:uiPriority w:val="0"/>
    <w:pPr>
      <w:jc w:val="left"/>
      <w:outlineLvl w:val="2"/>
    </w:pPr>
    <w:rPr>
      <w:rFonts w:hint="eastAsia" w:ascii="宋体" w:hAnsi="宋体"/>
      <w:b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2022-11-11T11:24:49Z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2052-11.1.0.12598</vt:lpwstr>
  </property>
</Properties>
</file>