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AA378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河南天恒科教设备有限公司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AA378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AA3782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6701B" w:rsidRPr="00FC1DAA" w:rsidRDefault="0066701B" w:rsidP="00E912B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3A490B">
              <w:rPr>
                <w:rFonts w:hint="eastAsia"/>
                <w:sz w:val="20"/>
              </w:rPr>
              <w:t>民法典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7C70B3" w:rsidP="007C70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</w:t>
            </w:r>
            <w:r w:rsidR="0066701B">
              <w:rPr>
                <w:b/>
                <w:sz w:val="20"/>
              </w:rPr>
              <w:t>观</w:t>
            </w:r>
            <w:r w:rsidR="0066701B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数量、合格证</w:t>
            </w:r>
            <w:r w:rsidR="0066701B">
              <w:rPr>
                <w:rFonts w:hint="eastAsia"/>
                <w:b/>
                <w:sz w:val="20"/>
              </w:rPr>
              <w:t>，无型式试验要求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5259C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B33ACA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2022.10.5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5259C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B33ACA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2022.10.5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AA378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河南天恒科教设备有限公司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AA378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AA3782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4E4117" w:rsidTr="0035573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33ACA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33ACA" w:rsidRDefault="005259CF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44AF837" wp14:editId="3B211FA3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2022.10.5</w:t>
            </w:r>
          </w:p>
        </w:tc>
      </w:tr>
      <w:tr w:rsidR="00B33ACA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33ACA" w:rsidRDefault="005259CF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23193F78" wp14:editId="1AA4B1FE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2022.10.5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AA378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河南天恒科教设备有限公司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AA378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AA3782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4E4117" w:rsidTr="000E5A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33ACA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33ACA" w:rsidRDefault="005259CF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noProof/>
                <w:kern w:val="0"/>
                <w:szCs w:val="24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0582374" wp14:editId="5054BB62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2022.10.5</w:t>
            </w:r>
          </w:p>
        </w:tc>
      </w:tr>
      <w:tr w:rsidR="00B33ACA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33ACA" w:rsidRDefault="005259CF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bookmarkStart w:id="4" w:name="_GoBack"/>
            <w:bookmarkEnd w:id="4"/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15A68A18" wp14:editId="310C6BF3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2022.10.5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62" w:rsidRDefault="00D25E62">
      <w:r>
        <w:separator/>
      </w:r>
    </w:p>
  </w:endnote>
  <w:endnote w:type="continuationSeparator" w:id="0">
    <w:p w:rsidR="00D25E62" w:rsidRDefault="00D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62" w:rsidRDefault="00D25E62">
      <w:r>
        <w:separator/>
      </w:r>
    </w:p>
  </w:footnote>
  <w:footnote w:type="continuationSeparator" w:id="0">
    <w:p w:rsidR="00D25E62" w:rsidRDefault="00D2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D25E62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045D5A"/>
    <w:rsid w:val="0007353A"/>
    <w:rsid w:val="000B12C1"/>
    <w:rsid w:val="000B3B8F"/>
    <w:rsid w:val="001329A5"/>
    <w:rsid w:val="00204A33"/>
    <w:rsid w:val="003359D6"/>
    <w:rsid w:val="003A490B"/>
    <w:rsid w:val="00401BD6"/>
    <w:rsid w:val="00403EB8"/>
    <w:rsid w:val="00454766"/>
    <w:rsid w:val="004A47DC"/>
    <w:rsid w:val="004E4117"/>
    <w:rsid w:val="005259CF"/>
    <w:rsid w:val="006404CC"/>
    <w:rsid w:val="0066701B"/>
    <w:rsid w:val="0072660F"/>
    <w:rsid w:val="007B79D0"/>
    <w:rsid w:val="007C70B3"/>
    <w:rsid w:val="0087034B"/>
    <w:rsid w:val="008C0D6F"/>
    <w:rsid w:val="00976B21"/>
    <w:rsid w:val="00AA1168"/>
    <w:rsid w:val="00AA3782"/>
    <w:rsid w:val="00B33ACA"/>
    <w:rsid w:val="00BA2E5B"/>
    <w:rsid w:val="00D25E62"/>
    <w:rsid w:val="00DF42DA"/>
    <w:rsid w:val="00E07328"/>
    <w:rsid w:val="00E3207E"/>
    <w:rsid w:val="00E912B3"/>
    <w:rsid w:val="00F3441E"/>
    <w:rsid w:val="00F65BCC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1085</Characters>
  <Application>Microsoft Office Word</Application>
  <DocSecurity>0</DocSecurity>
  <Lines>9</Lines>
  <Paragraphs>2</Paragraphs>
  <ScaleCrop>false</ScaleCrop>
  <Company>微软中国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41</cp:revision>
  <dcterms:created xsi:type="dcterms:W3CDTF">2015-06-17T11:40:00Z</dcterms:created>
  <dcterms:modified xsi:type="dcterms:W3CDTF">2022-11-03T02:27:00Z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