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1004-2022-QEO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石家庄正华保安服务有限公司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石家庄正华保安服务有限公司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石家庄市裕华区建设南大街163号凯莱金第A-163</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石家庄市裕华区建设南大街163号凯莱金第A-163</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张晓远</w:t>
            </w:r>
            <w:bookmarkEnd w:id="10"/>
          </w:p>
        </w:tc>
        <w:tc>
          <w:tcPr>
            <w:tcW w:w="1313" w:type="dxa"/>
            <w:vAlign w:val="center"/>
          </w:tcPr>
          <w:p>
            <w:r>
              <w:rPr>
                <w:rFonts w:hint="eastAsia"/>
              </w:rPr>
              <w:t>电话.</w:t>
            </w:r>
          </w:p>
        </w:tc>
        <w:tc>
          <w:tcPr>
            <w:tcW w:w="2180" w:type="dxa"/>
            <w:vAlign w:val="center"/>
          </w:tcPr>
          <w:p>
            <w:bookmarkStart w:id="11" w:name="联系人电话"/>
            <w:r>
              <w:t>86618881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何小勇</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王佳</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受审核组织的班次：□单班□双班□三班</w:t>
            </w:r>
            <w:r>
              <w:rPr>
                <w:rFonts w:hint="eastAsia"/>
                <w:lang w:eastAsia="zh-CN"/>
              </w:rPr>
              <w:t>☑</w:t>
            </w:r>
            <w:r>
              <w:rPr>
                <w:rFonts w:hint="eastAsia"/>
              </w:rPr>
              <w:t>其他</w:t>
            </w:r>
            <w:r>
              <w:rPr>
                <w:rFonts w:hint="eastAsia"/>
                <w:lang w:eastAsia="zh-CN"/>
              </w:rPr>
              <w:t>（</w:t>
            </w:r>
            <w:r>
              <w:rPr>
                <w:rFonts w:hint="eastAsia"/>
                <w:lang w:val="en-US" w:eastAsia="zh-CN"/>
              </w:rPr>
              <w:t>小区保安人员四班三倒</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default" w:ascii="Times New Roman" w:hAnsi="Times New Roman" w:eastAsia="宋体" w:cs="Times New Roman"/>
                <w:kern w:val="2"/>
                <w:sz w:val="21"/>
                <w:lang w:val="en-US" w:eastAsia="zh-CN" w:bidi="ar-SA"/>
              </w:rPr>
              <w:t>合同签订→组织人员→开展安保服务（门卫、巡逻、</w:t>
            </w:r>
            <w:r>
              <w:rPr>
                <w:rFonts w:hint="eastAsia" w:cs="Times New Roman"/>
                <w:kern w:val="2"/>
                <w:sz w:val="21"/>
                <w:lang w:val="en-US" w:eastAsia="zh-CN" w:bidi="ar-SA"/>
              </w:rPr>
              <w:t>守护</w:t>
            </w:r>
            <w:r>
              <w:rPr>
                <w:rFonts w:hint="default" w:ascii="Times New Roman" w:hAnsi="Times New Roman" w:eastAsia="宋体" w:cs="Times New Roman"/>
                <w:kern w:val="2"/>
                <w:sz w:val="21"/>
                <w:lang w:val="en-US" w:eastAsia="zh-CN" w:bidi="ar-SA"/>
              </w:rPr>
              <w:t>、区域秩序维护）→回访客户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2022年10月06日 上午至2022年10月07日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石家庄市裕华区建设南大街163号凯莱金第A-163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Q：门卫、巡逻、</w:t>
            </w:r>
            <w:r>
              <w:rPr>
                <w:rFonts w:hint="eastAsia"/>
                <w:lang w:eastAsia="zh-CN"/>
              </w:rPr>
              <w:t>守护</w:t>
            </w:r>
            <w:r>
              <w:t>、区域秩序维护</w:t>
            </w:r>
          </w:p>
          <w:p>
            <w:r>
              <w:t>E：门卫、巡逻、</w:t>
            </w:r>
            <w:r>
              <w:rPr>
                <w:rFonts w:hint="eastAsia"/>
                <w:lang w:eastAsia="zh-CN"/>
              </w:rPr>
              <w:t>守护</w:t>
            </w:r>
            <w:r>
              <w:t>、区域秩序维护所涉及场所的相关环境管理活动</w:t>
            </w:r>
          </w:p>
          <w:p>
            <w:r>
              <w:t>O：门卫、巡逻、</w:t>
            </w:r>
            <w:r>
              <w:rPr>
                <w:rFonts w:hint="eastAsia"/>
                <w:lang w:eastAsia="zh-CN"/>
              </w:rPr>
              <w:t>守护</w:t>
            </w:r>
            <w:r>
              <w:t>、区域秩序维护所涉及场所的相关职业健康安全管理活</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Q：35.12.00</w:t>
            </w:r>
          </w:p>
          <w:p>
            <w:r>
              <w:t>E：35.12.00</w:t>
            </w:r>
          </w:p>
          <w:p>
            <w:r>
              <w:t>O：35.12.00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22"/>
        <w:gridCol w:w="1291"/>
        <w:gridCol w:w="1588"/>
        <w:gridCol w:w="170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22"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129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588"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p>
        </w:tc>
        <w:tc>
          <w:tcPr>
            <w:tcW w:w="17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石家庄正华保安服务有限公司</w:t>
            </w:r>
            <w:r>
              <w:rPr>
                <w:rFonts w:hint="eastAsia" w:eastAsia="黑体"/>
                <w:szCs w:val="21"/>
                <w:lang w:val="en-US" w:eastAsia="zh-CN"/>
              </w:rPr>
              <w:t>/</w:t>
            </w:r>
            <w:r>
              <w:rPr>
                <w:rFonts w:hint="eastAsia" w:eastAsia="黑体"/>
                <w:szCs w:val="21"/>
                <w:lang w:val="de-DE" w:eastAsia="ja-JP"/>
              </w:rPr>
              <w:t>石家庄市裕华区建设南大街163号凯莱金第A-163</w:t>
            </w:r>
          </w:p>
        </w:tc>
        <w:tc>
          <w:tcPr>
            <w:tcW w:w="1722" w:type="dxa"/>
          </w:tcPr>
          <w:p>
            <w:pPr>
              <w:spacing w:before="40" w:after="40"/>
              <w:rPr>
                <w:rFonts w:eastAsia="黑体"/>
                <w:szCs w:val="21"/>
                <w:lang w:val="de-DE" w:eastAsia="ja-JP"/>
              </w:rPr>
            </w:pPr>
            <w:r>
              <w:rPr>
                <w:rFonts w:hint="eastAsia" w:eastAsia="黑体"/>
                <w:szCs w:val="21"/>
                <w:lang w:val="de-DE" w:eastAsia="ja-JP"/>
              </w:rPr>
              <w:t>石家庄市裕华区建设南大街163号凯莱金第A-163</w:t>
            </w:r>
          </w:p>
        </w:tc>
        <w:tc>
          <w:tcPr>
            <w:tcW w:w="1291" w:type="dxa"/>
            <w:vAlign w:val="center"/>
          </w:tcPr>
          <w:p>
            <w:pPr>
              <w:spacing w:before="40" w:after="40"/>
              <w:rPr>
                <w:rFonts w:hint="default"/>
                <w:lang w:val="en-US" w:eastAsia="zh-CN"/>
              </w:rPr>
            </w:pPr>
            <w:r>
              <w:rPr>
                <w:rFonts w:hint="eastAsia"/>
                <w:lang w:val="en-US" w:eastAsia="zh-CN"/>
              </w:rPr>
              <w:t>55</w:t>
            </w:r>
            <w:r>
              <w:rPr>
                <w:rFonts w:hint="eastAsia" w:eastAsia="黑体"/>
                <w:szCs w:val="21"/>
                <w:lang w:val="en-US" w:eastAsia="zh-CN"/>
              </w:rPr>
              <w:t>（组织总人数）</w:t>
            </w:r>
          </w:p>
        </w:tc>
        <w:tc>
          <w:tcPr>
            <w:tcW w:w="1588" w:type="dxa"/>
            <w:vAlign w:val="center"/>
          </w:tcPr>
          <w:p>
            <w:pPr>
              <w:pStyle w:val="21"/>
              <w:rPr>
                <w:rFonts w:eastAsia="黑体" w:cs="Arial"/>
                <w:sz w:val="21"/>
                <w:szCs w:val="21"/>
                <w:lang w:val="en-US" w:eastAsia="ja-JP"/>
              </w:rPr>
            </w:pPr>
            <w:r>
              <w:rPr>
                <w:sz w:val="21"/>
                <w:szCs w:val="21"/>
              </w:rPr>
              <w:t>门卫、巡逻、守</w:t>
            </w:r>
            <w:r>
              <w:rPr>
                <w:rFonts w:hint="eastAsia" w:eastAsia="宋体"/>
                <w:sz w:val="21"/>
                <w:szCs w:val="21"/>
                <w:lang w:val="en-US" w:eastAsia="zh-CN"/>
              </w:rPr>
              <w:t>护</w:t>
            </w:r>
            <w:r>
              <w:rPr>
                <w:sz w:val="21"/>
                <w:szCs w:val="21"/>
              </w:rPr>
              <w:t>、区域秩序维护</w:t>
            </w:r>
          </w:p>
        </w:tc>
        <w:tc>
          <w:tcPr>
            <w:tcW w:w="170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hint="default" w:eastAsia="黑体"/>
                <w:szCs w:val="21"/>
                <w:lang w:val="en-US" w:eastAsia="zh-CN"/>
              </w:rPr>
            </w:pPr>
            <w:r>
              <w:rPr>
                <w:rFonts w:hint="eastAsia" w:eastAsia="黑体"/>
                <w:szCs w:val="21"/>
                <w:lang w:val="en-US" w:eastAsia="zh-CN"/>
              </w:rPr>
              <w:t>02</w:t>
            </w:r>
          </w:p>
        </w:tc>
        <w:tc>
          <w:tcPr>
            <w:tcW w:w="2267" w:type="dxa"/>
          </w:tcPr>
          <w:p>
            <w:pPr>
              <w:spacing w:before="40" w:after="40"/>
              <w:rPr>
                <w:rFonts w:hint="default" w:eastAsia="黑体"/>
                <w:szCs w:val="21"/>
                <w:lang w:val="en-US" w:eastAsia="zh-CN"/>
              </w:rPr>
            </w:pPr>
            <w:r>
              <w:rPr>
                <w:rFonts w:hint="eastAsia" w:eastAsia="黑体"/>
                <w:szCs w:val="21"/>
                <w:lang w:val="en-US" w:eastAsia="zh-CN"/>
              </w:rPr>
              <w:t>服务现场</w:t>
            </w:r>
          </w:p>
        </w:tc>
        <w:tc>
          <w:tcPr>
            <w:tcW w:w="1722" w:type="dxa"/>
          </w:tcPr>
          <w:p>
            <w:pPr>
              <w:spacing w:before="40" w:after="40"/>
              <w:rPr>
                <w:rFonts w:hint="eastAsia" w:eastAsia="黑体"/>
                <w:szCs w:val="21"/>
                <w:lang w:val="de-DE" w:eastAsia="ja-JP"/>
              </w:rPr>
            </w:pPr>
            <w:r>
              <w:rPr>
                <w:rFonts w:hint="default"/>
                <w:color w:val="000000"/>
                <w:lang w:val="en-US" w:eastAsia="zh-CN"/>
              </w:rPr>
              <w:t>石家庄市新华区东三庄街18号鸿锐花园小区</w:t>
            </w:r>
          </w:p>
        </w:tc>
        <w:tc>
          <w:tcPr>
            <w:tcW w:w="1291" w:type="dxa"/>
            <w:vAlign w:val="center"/>
          </w:tcPr>
          <w:p>
            <w:pPr>
              <w:spacing w:before="40" w:after="40"/>
              <w:rPr>
                <w:rFonts w:hint="default" w:eastAsia="黑体"/>
                <w:szCs w:val="21"/>
                <w:lang w:val="en-US" w:eastAsia="zh-CN"/>
              </w:rPr>
            </w:pPr>
            <w:r>
              <w:rPr>
                <w:rFonts w:hint="eastAsia" w:eastAsia="黑体"/>
                <w:szCs w:val="21"/>
                <w:lang w:val="en-US" w:eastAsia="zh-CN"/>
              </w:rPr>
              <w:t>8（服务人数）</w:t>
            </w:r>
          </w:p>
        </w:tc>
        <w:tc>
          <w:tcPr>
            <w:tcW w:w="1588" w:type="dxa"/>
            <w:vAlign w:val="center"/>
          </w:tcPr>
          <w:p>
            <w:pPr>
              <w:pStyle w:val="21"/>
              <w:rPr>
                <w:rFonts w:ascii="Times New Roman" w:hAnsi="Times New Roman" w:eastAsia="黑体" w:cs="Arial"/>
                <w:kern w:val="2"/>
                <w:sz w:val="21"/>
                <w:szCs w:val="21"/>
                <w:lang w:val="en-US" w:eastAsia="ja-JP" w:bidi="ar-SA"/>
              </w:rPr>
            </w:pPr>
            <w:r>
              <w:rPr>
                <w:sz w:val="21"/>
                <w:szCs w:val="21"/>
              </w:rPr>
              <w:t>门卫、巡逻、守</w:t>
            </w:r>
            <w:r>
              <w:rPr>
                <w:rFonts w:hint="eastAsia" w:eastAsia="宋体"/>
                <w:sz w:val="21"/>
                <w:szCs w:val="21"/>
                <w:lang w:val="en-US" w:eastAsia="zh-CN"/>
              </w:rPr>
              <w:t>护</w:t>
            </w:r>
            <w:r>
              <w:rPr>
                <w:sz w:val="21"/>
                <w:szCs w:val="21"/>
              </w:rPr>
              <w:t>、区域秩序维护</w:t>
            </w:r>
          </w:p>
        </w:tc>
        <w:tc>
          <w:tcPr>
            <w:tcW w:w="170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E:35.12.00</w:t>
            </w:r>
          </w:p>
          <w:p>
            <w: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2022-N1QMS-2244880</w:t>
            </w:r>
          </w:p>
          <w:p>
            <w:r>
              <w:t>2021-N1EMS-1244880</w:t>
            </w:r>
          </w:p>
        </w:tc>
        <w:tc>
          <w:tcPr>
            <w:tcW w:w="2179" w:type="dxa"/>
            <w:vAlign w:val="center"/>
          </w:tcPr>
          <w:p>
            <w:r>
              <w:t>Q:35.12.00</w:t>
            </w:r>
          </w:p>
          <w:p>
            <w:r>
              <w:t>E:35.12.00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E:35.12.00</w:t>
            </w:r>
          </w:p>
          <w:p>
            <w:r>
              <w:t>O:35.12.00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一阶段审核变更了认证范围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b w:val="0"/>
                <w:bCs w:val="0"/>
                <w:sz w:val="21"/>
                <w:szCs w:val="21"/>
              </w:rPr>
              <w:t>门卫、巡逻、</w:t>
            </w:r>
            <w:r>
              <w:rPr>
                <w:rFonts w:hint="eastAsia"/>
                <w:b w:val="0"/>
                <w:bCs w:val="0"/>
                <w:sz w:val="21"/>
                <w:szCs w:val="21"/>
                <w:lang w:eastAsia="zh-CN"/>
              </w:rPr>
              <w:t>守护</w:t>
            </w:r>
            <w:r>
              <w:rPr>
                <w:b w:val="0"/>
                <w:bCs w:val="0"/>
                <w:sz w:val="21"/>
                <w:szCs w:val="21"/>
              </w:rPr>
              <w:t>、区域秩序维护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b w:val="0"/>
                <w:bCs w:val="0"/>
                <w:sz w:val="21"/>
                <w:szCs w:val="21"/>
              </w:rPr>
              <w:t>门卫、巡逻、</w:t>
            </w:r>
            <w:r>
              <w:rPr>
                <w:rFonts w:hint="eastAsia"/>
                <w:b w:val="0"/>
                <w:bCs w:val="0"/>
                <w:sz w:val="21"/>
                <w:szCs w:val="21"/>
                <w:lang w:eastAsia="zh-CN"/>
              </w:rPr>
              <w:t>守护</w:t>
            </w:r>
            <w:r>
              <w:rPr>
                <w:b w:val="0"/>
                <w:bCs w:val="0"/>
                <w:sz w:val="21"/>
                <w:szCs w:val="21"/>
              </w:rPr>
              <w:t>、区域秩序维护所涉及场所的相关环境管理活动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val="en-US" w:eastAsia="zh-CN"/>
              </w:rPr>
            </w:pPr>
            <w:r>
              <w:rPr>
                <w:b w:val="0"/>
                <w:bCs w:val="0"/>
                <w:sz w:val="21"/>
                <w:szCs w:val="21"/>
              </w:rPr>
              <w:t>门卫、巡逻、</w:t>
            </w:r>
            <w:r>
              <w:rPr>
                <w:rFonts w:hint="eastAsia"/>
                <w:b w:val="0"/>
                <w:bCs w:val="0"/>
                <w:sz w:val="21"/>
                <w:szCs w:val="21"/>
                <w:lang w:eastAsia="zh-CN"/>
              </w:rPr>
              <w:t>守护</w:t>
            </w:r>
            <w:r>
              <w:rPr>
                <w:b w:val="0"/>
                <w:bCs w:val="0"/>
                <w:sz w:val="21"/>
                <w:szCs w:val="21"/>
              </w:rPr>
              <w:t>、区域秩序维护所涉及场所的相关职业健康安全管理活</w:t>
            </w:r>
            <w:r>
              <w:rPr>
                <w:rFonts w:hint="eastAsia"/>
                <w:b w:val="0"/>
                <w:bCs w:val="0"/>
                <w:sz w:val="21"/>
                <w:szCs w:val="21"/>
                <w:lang w:val="en-US"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130810</wp:posOffset>
                  </wp:positionH>
                  <wp:positionV relativeFrom="paragraph">
                    <wp:posOffset>207645</wp:posOffset>
                  </wp:positionV>
                  <wp:extent cx="933450" cy="4495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3450" cy="44958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2022年10月7日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eastAsiaTheme="majorEastAsia"/>
                <w:u w:val="single"/>
                <w:lang w:eastAsia="zh-CN"/>
              </w:rPr>
            </w:pPr>
            <w:r>
              <w:rPr>
                <w:rFonts w:hint="default" w:ascii="Times New Roman" w:hAnsi="Times New Roman" w:cs="Times New Roman" w:eastAsiaTheme="majorEastAsia"/>
                <w:sz w:val="21"/>
                <w:szCs w:val="21"/>
              </w:rPr>
              <w:t>专业规范、求实创新；以人为本, 预防为主；遵守法规，持续改进；客户满意，和谐社会</w:t>
            </w:r>
            <w:r>
              <w:rPr>
                <w:rFonts w:hint="eastAsia" w:ascii="Times New Roman" w:hAnsi="Times New Roman" w:cs="Times New Roman" w:eastAsiaTheme="majorEastAsia"/>
                <w:sz w:val="21"/>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保安服务部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37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shd w:val="clear" w:color="auto" w:fill="C7DAF1" w:themeFill="text2" w:themeFillTint="32"/>
                  </w:pPr>
                  <w:r>
                    <w:rPr>
                      <w:rFonts w:hint="eastAsia"/>
                    </w:rPr>
                    <w:t>主要的风险或机遇描述</w:t>
                  </w:r>
                </w:p>
              </w:tc>
              <w:tc>
                <w:tcPr>
                  <w:tcW w:w="3733"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人员技术及服务意识</w:t>
                  </w:r>
                </w:p>
              </w:tc>
              <w:tc>
                <w:tcPr>
                  <w:tcW w:w="3733" w:type="dxa"/>
                  <w:vAlign w:val="center"/>
                </w:tcPr>
                <w:p>
                  <w:pPr>
                    <w:rPr>
                      <w:rFonts w:hint="eastAsia" w:ascii="宋体" w:hAnsi="宋体" w:cs="宋体"/>
                      <w:sz w:val="21"/>
                      <w:szCs w:val="21"/>
                    </w:rPr>
                  </w:pPr>
                  <w:r>
                    <w:rPr>
                      <w:rFonts w:hint="eastAsia" w:ascii="宋体" w:hAnsi="宋体" w:cs="宋体"/>
                      <w:sz w:val="21"/>
                      <w:szCs w:val="21"/>
                    </w:rPr>
                    <w:t>1制定人员培训计划</w:t>
                  </w:r>
                </w:p>
                <w:p>
                  <w:pPr>
                    <w:rPr>
                      <w:rFonts w:hint="eastAsia" w:ascii="宋体" w:hAnsi="宋体" w:cs="宋体"/>
                      <w:sz w:val="21"/>
                      <w:szCs w:val="21"/>
                    </w:rPr>
                  </w:pPr>
                  <w:r>
                    <w:rPr>
                      <w:rFonts w:hint="eastAsia" w:ascii="宋体" w:hAnsi="宋体" w:cs="宋体"/>
                      <w:sz w:val="21"/>
                      <w:szCs w:val="21"/>
                    </w:rPr>
                    <w:t>2制定上岗考核制度</w:t>
                  </w:r>
                </w:p>
                <w:p>
                  <w:pPr>
                    <w:rPr>
                      <w:rFonts w:hint="eastAsia" w:ascii="宋体" w:hAnsi="宋体" w:eastAsia="宋体" w:cs="宋体"/>
                      <w:kern w:val="2"/>
                      <w:sz w:val="21"/>
                      <w:szCs w:val="21"/>
                      <w:lang w:val="en-US" w:eastAsia="zh-CN" w:bidi="ar-SA"/>
                    </w:rPr>
                  </w:pPr>
                  <w:r>
                    <w:rPr>
                      <w:rFonts w:hint="eastAsia" w:ascii="宋体" w:hAnsi="宋体" w:cs="宋体"/>
                      <w:sz w:val="21"/>
                      <w:szCs w:val="21"/>
                    </w:rPr>
                    <w:t>3特殊工种持证上岗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工器具保障能力（保养、大修状况）</w:t>
                  </w:r>
                </w:p>
              </w:tc>
              <w:tc>
                <w:tcPr>
                  <w:tcW w:w="3733" w:type="dxa"/>
                  <w:vAlign w:val="center"/>
                </w:tcPr>
                <w:p>
                  <w:pPr>
                    <w:rPr>
                      <w:rFonts w:hint="eastAsia" w:ascii="宋体" w:hAnsi="宋体" w:cs="宋体"/>
                      <w:sz w:val="21"/>
                      <w:szCs w:val="21"/>
                    </w:rPr>
                  </w:pPr>
                  <w:r>
                    <w:rPr>
                      <w:rFonts w:hint="eastAsia" w:ascii="宋体" w:hAnsi="宋体" w:cs="宋体"/>
                      <w:sz w:val="21"/>
                      <w:szCs w:val="21"/>
                    </w:rPr>
                    <w:t>1制定制定工器具维护保养制定并执行</w:t>
                  </w:r>
                </w:p>
                <w:p>
                  <w:pPr>
                    <w:rPr>
                      <w:rFonts w:hint="eastAsia" w:ascii="宋体" w:hAnsi="宋体" w:eastAsia="宋体" w:cs="宋体"/>
                      <w:kern w:val="2"/>
                      <w:sz w:val="21"/>
                      <w:szCs w:val="21"/>
                      <w:lang w:val="en-US" w:eastAsia="zh-CN" w:bidi="ar-SA"/>
                    </w:rPr>
                  </w:pPr>
                  <w:r>
                    <w:rPr>
                      <w:rFonts w:hint="eastAsia" w:ascii="宋体" w:hAnsi="宋体" w:cs="宋体"/>
                      <w:sz w:val="21"/>
                      <w:szCs w:val="21"/>
                    </w:rPr>
                    <w:t>2专人进行工器具管理。</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72"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管理能力（协调各项目计划等）</w:t>
                  </w:r>
                </w:p>
              </w:tc>
              <w:tc>
                <w:tcPr>
                  <w:tcW w:w="3733"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项目计划完成率等分阶段考核。</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69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9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shd w:val="clear" w:color="auto" w:fill="auto"/>
                </w:tcPr>
                <w:p>
                  <w:pPr>
                    <w:shd w:val="clear" w:color="auto" w:fill="C7DAF1" w:themeFill="text2" w:themeFillTint="32"/>
                  </w:pPr>
                  <w:r>
                    <w:rPr>
                      <w:rFonts w:hint="default" w:ascii="Times New Roman" w:hAnsi="Times New Roman" w:cs="Times New Roman" w:eastAsiaTheme="majorEastAsia"/>
                      <w:sz w:val="21"/>
                      <w:szCs w:val="21"/>
                    </w:rPr>
                    <w:t>合同责任履约率100%，重大顾客投诉为0，顾客满意率90%以上</w:t>
                  </w:r>
                </w:p>
              </w:tc>
              <w:tc>
                <w:tcPr>
                  <w:tcW w:w="2691"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每季度根据完成情况统计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保安服务部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default" w:ascii="Times New Roman" w:hAnsi="Times New Roman" w:cs="Times New Roman" w:eastAsiaTheme="majorEastAsia"/>
                <w:b w:val="0"/>
                <w:bCs w:val="0"/>
                <w:color w:val="000000"/>
                <w:sz w:val="21"/>
                <w:szCs w:val="21"/>
                <w:u w:val="none"/>
              </w:rPr>
              <w:t>橡胶棒</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防刺服</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防刺手套</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钢叉</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盾牌</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326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tcPr>
                <w:p>
                  <w:pPr>
                    <w:shd w:val="clear" w:color="auto" w:fill="C7DAF1" w:themeFill="text2" w:themeFillTint="32"/>
                    <w:jc w:val="left"/>
                  </w:pPr>
                  <w:r>
                    <w:rPr>
                      <w:rFonts w:hint="eastAsia"/>
                    </w:rPr>
                    <w:t>产品/服务名称</w:t>
                  </w:r>
                </w:p>
              </w:tc>
              <w:tc>
                <w:tcPr>
                  <w:tcW w:w="326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tcPr>
                <w:p>
                  <w:pPr>
                    <w:shd w:val="clear" w:color="auto" w:fill="C7DAF1" w:themeFill="text2" w:themeFillTint="32"/>
                    <w:jc w:val="left"/>
                  </w:pPr>
                  <w:r>
                    <w:rPr>
                      <w:b w:val="0"/>
                      <w:bCs w:val="0"/>
                      <w:sz w:val="21"/>
                      <w:szCs w:val="21"/>
                    </w:rPr>
                    <w:t>门卫、巡逻、</w:t>
                  </w:r>
                  <w:r>
                    <w:rPr>
                      <w:rFonts w:hint="eastAsia"/>
                      <w:b w:val="0"/>
                      <w:bCs w:val="0"/>
                      <w:sz w:val="21"/>
                      <w:szCs w:val="21"/>
                      <w:lang w:eastAsia="zh-CN"/>
                    </w:rPr>
                    <w:t>守护</w:t>
                  </w:r>
                  <w:r>
                    <w:rPr>
                      <w:b w:val="0"/>
                      <w:bCs w:val="0"/>
                      <w:sz w:val="21"/>
                      <w:szCs w:val="21"/>
                    </w:rPr>
                    <w:t>、区域秩序维护</w:t>
                  </w:r>
                </w:p>
              </w:tc>
              <w:tc>
                <w:tcPr>
                  <w:tcW w:w="3267" w:type="dxa"/>
                </w:tcPr>
                <w:p>
                  <w:pPr>
                    <w:shd w:val="clear" w:color="auto" w:fill="C7DAF1" w:themeFill="text2" w:themeFillTint="32"/>
                    <w:jc w:val="left"/>
                    <w:rPr>
                      <w:rFonts w:hint="eastAsia" w:eastAsia="宋体"/>
                      <w:lang w:val="en-US" w:eastAsia="zh-CN"/>
                    </w:rPr>
                  </w:pPr>
                  <w:r>
                    <w:rPr>
                      <w:rFonts w:hint="eastAsia"/>
                      <w:lang w:val="en-US" w:eastAsia="zh-CN"/>
                    </w:rPr>
                    <w:t>保安服务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b w:val="0"/>
                <w:bCs w:val="0"/>
                <w:color w:val="auto"/>
                <w:lang w:eastAsia="zh-CN"/>
              </w:rPr>
              <w:t>保安服务提供过程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w:t>
            </w:r>
            <w:r>
              <w:rPr>
                <w:rFonts w:hint="eastAsia"/>
                <w:lang w:val="en-US" w:eastAsia="zh-CN"/>
              </w:rPr>
              <w:t>1</w:t>
            </w:r>
            <w:bookmarkStart w:id="33" w:name="_GoBack"/>
            <w:bookmarkEnd w:id="33"/>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lang w:eastAsia="zh-CN"/>
              </w:rPr>
              <w:t>☑</w:t>
            </w:r>
            <w:r>
              <w:rPr>
                <w:rFonts w:hint="eastAsia"/>
              </w:rPr>
              <w:t>对所有班次的现场操作已审核。</w:t>
            </w:r>
          </w:p>
          <w:p>
            <w:pPr>
              <w:shd w:val="clear" w:color="auto" w:fill="C7DAF1" w:themeFill="text2" w:themeFillTint="32"/>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eastAsiaTheme="majorEastAsia"/>
                <w:u w:val="single"/>
                <w:lang w:eastAsia="zh-CN"/>
              </w:rPr>
            </w:pPr>
            <w:r>
              <w:rPr>
                <w:rFonts w:hint="default" w:ascii="Times New Roman" w:hAnsi="Times New Roman" w:cs="Times New Roman" w:eastAsiaTheme="majorEastAsia"/>
                <w:sz w:val="21"/>
                <w:szCs w:val="21"/>
              </w:rPr>
              <w:t>专业规范、求实创新；以人为本, 预防为主；遵守法规，持续改进；客户满意，和谐社会</w:t>
            </w:r>
            <w:r>
              <w:rPr>
                <w:rFonts w:hint="eastAsia" w:ascii="Times New Roman" w:hAnsi="Times New Roman" w:cs="Times New Roman" w:eastAsiaTheme="majorEastAsia"/>
                <w:sz w:val="21"/>
                <w:szCs w:val="21"/>
                <w:lang w:eastAsia="zh-CN"/>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保安服务部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服务流程稳定性</w:t>
                  </w:r>
                </w:p>
              </w:tc>
              <w:tc>
                <w:tcPr>
                  <w:tcW w:w="3965" w:type="dxa"/>
                  <w:vAlign w:val="center"/>
                </w:tcPr>
                <w:p>
                  <w:pPr>
                    <w:rPr>
                      <w:rFonts w:hint="eastAsia" w:ascii="宋体" w:hAnsi="宋体" w:cs="宋体"/>
                      <w:sz w:val="21"/>
                      <w:szCs w:val="21"/>
                    </w:rPr>
                  </w:pPr>
                  <w:r>
                    <w:rPr>
                      <w:rFonts w:hint="eastAsia" w:ascii="宋体" w:hAnsi="宋体" w:cs="宋体"/>
                      <w:sz w:val="21"/>
                      <w:szCs w:val="21"/>
                    </w:rPr>
                    <w:t>1制定服务技术文件</w:t>
                  </w:r>
                </w:p>
                <w:p>
                  <w:pPr>
                    <w:rPr>
                      <w:rFonts w:hint="eastAsia" w:ascii="宋体" w:hAnsi="宋体" w:cs="宋体"/>
                      <w:sz w:val="21"/>
                      <w:szCs w:val="21"/>
                    </w:rPr>
                  </w:pPr>
                  <w:r>
                    <w:rPr>
                      <w:rFonts w:hint="eastAsia" w:ascii="宋体" w:hAnsi="宋体" w:cs="宋体"/>
                      <w:sz w:val="21"/>
                      <w:szCs w:val="21"/>
                    </w:rPr>
                    <w:t>2制定管理制度</w:t>
                  </w:r>
                </w:p>
                <w:p>
                  <w:pPr>
                    <w:rPr>
                      <w:rFonts w:hint="eastAsia" w:ascii="宋体" w:hAnsi="宋体" w:eastAsia="宋体" w:cs="宋体"/>
                      <w:kern w:val="2"/>
                      <w:sz w:val="21"/>
                      <w:szCs w:val="21"/>
                      <w:lang w:val="en-US" w:eastAsia="zh-CN" w:bidi="ar-SA"/>
                    </w:rPr>
                  </w:pPr>
                  <w:r>
                    <w:rPr>
                      <w:rFonts w:hint="eastAsia" w:ascii="宋体" w:hAnsi="宋体" w:cs="宋体"/>
                      <w:sz w:val="21"/>
                      <w:szCs w:val="21"/>
                    </w:rPr>
                    <w:t>3定期对服务流程进行培训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检查及检验</w:t>
                  </w:r>
                </w:p>
              </w:tc>
              <w:tc>
                <w:tcPr>
                  <w:tcW w:w="3965"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定期对各各项目部进行检查指导</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default" w:ascii="Times New Roman" w:hAnsi="Times New Roman" w:cs="Times New Roman" w:eastAsiaTheme="majorEastAsia"/>
                      <w:sz w:val="21"/>
                      <w:szCs w:val="21"/>
                    </w:rPr>
                    <w:t>各种废弃物达标排放</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制定管理方案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保安服务部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default" w:ascii="Times New Roman" w:hAnsi="Times New Roman" w:cs="Times New Roman" w:eastAsiaTheme="majorEastAsia"/>
                <w:b w:val="0"/>
                <w:bCs w:val="0"/>
                <w:color w:val="000000"/>
                <w:sz w:val="21"/>
                <w:szCs w:val="21"/>
                <w:u w:val="none"/>
              </w:rPr>
              <w:t>橡胶棒</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防刺服</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防刺手套</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钢叉</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盾牌</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制定管理方案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制定管理方案、应急预案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22</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ascii="宋体" w:hAnsi="宋体" w:eastAsia="宋体" w:cs="宋体"/>
                <w:kern w:val="0"/>
                <w:sz w:val="21"/>
                <w:szCs w:val="21"/>
                <w:lang w:val="en-US" w:eastAsia="zh-CN" w:bidi="ar-SA"/>
              </w:rPr>
              <w:t>2022年4月25日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default" w:ascii="Times New Roman" w:hAnsi="Times New Roman" w:cs="Times New Roman" w:eastAsiaTheme="majorEastAsia"/>
                <w:sz w:val="21"/>
                <w:szCs w:val="21"/>
              </w:rPr>
              <w:t>专业规范、求实创新；以人为本, 预防为主；遵守法规，持续改进；客户满意，和谐社会</w:t>
            </w:r>
            <w:r>
              <w:rPr>
                <w:rFonts w:hint="eastAsia" w:ascii="Times New Roman" w:hAnsi="Times New Roman" w:cs="Times New Roman" w:eastAsiaTheme="majorEastAsia"/>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保安服务部</w:t>
            </w:r>
          </w:p>
          <w:p>
            <w:r>
              <w:rPr>
                <w:rFonts w:hint="eastAsia"/>
              </w:rPr>
              <w:t>安全的主管部门是——</w:t>
            </w:r>
            <w:r>
              <w:rPr>
                <w:rFonts w:hint="eastAsia"/>
                <w:lang w:val="en-US" w:eastAsia="zh-CN"/>
              </w:rPr>
              <w:t>保安服务部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张巍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ajorEastAsia"/>
                      <w:lang w:val="en-US" w:eastAsia="zh-CN"/>
                    </w:rPr>
                  </w:pPr>
                  <w:r>
                    <w:rPr>
                      <w:rFonts w:hint="default" w:ascii="Times New Roman" w:hAnsi="Times New Roman" w:cs="Times New Roman" w:eastAsiaTheme="majorEastAsia"/>
                      <w:b w:val="0"/>
                      <w:bCs w:val="0"/>
                      <w:sz w:val="21"/>
                      <w:szCs w:val="21"/>
                      <w:u w:val="none"/>
                    </w:rPr>
                    <w:t>新冠肺炎疫情</w:t>
                  </w:r>
                  <w:r>
                    <w:rPr>
                      <w:rFonts w:hint="eastAsia" w:ascii="Times New Roman" w:hAnsi="Times New Roman" w:cs="Times New Roman" w:eastAsiaTheme="majorEastAsia"/>
                      <w:b w:val="0"/>
                      <w:bCs w:val="0"/>
                      <w:sz w:val="21"/>
                      <w:szCs w:val="21"/>
                      <w:u w:val="none"/>
                      <w:lang w:val="en-US" w:eastAsia="zh-CN"/>
                    </w:rPr>
                    <w:t>突发</w:t>
                  </w:r>
                </w:p>
              </w:tc>
              <w:tc>
                <w:tcPr>
                  <w:tcW w:w="3965" w:type="dxa"/>
                </w:tcPr>
                <w:p>
                  <w:r>
                    <w:rPr>
                      <w:rFonts w:hint="default" w:ascii="Times New Roman" w:hAnsi="Times New Roman" w:cs="Times New Roman" w:eastAsiaTheme="majorEastAsia"/>
                      <w:b w:val="0"/>
                      <w:bCs w:val="0"/>
                      <w:sz w:val="21"/>
                      <w:szCs w:val="21"/>
                      <w:u w:val="none"/>
                    </w:rPr>
                    <w:t>制定了相应的管理措施，并投入了有效的人员和资金</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264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shd w:val="clear" w:color="auto" w:fill="auto"/>
                </w:tcPr>
                <w:p>
                  <w:pPr>
                    <w:rPr>
                      <w:rFonts w:ascii="宋体" w:hAnsi="宋体"/>
                    </w:rPr>
                  </w:pPr>
                  <w:r>
                    <w:rPr>
                      <w:rFonts w:hint="eastAsia"/>
                    </w:rPr>
                    <w:t>职业健康安全</w:t>
                  </w:r>
                  <w:r>
                    <w:rPr>
                      <w:rFonts w:hint="eastAsia" w:ascii="宋体" w:hAnsi="宋体"/>
                    </w:rPr>
                    <w:t>目标</w:t>
                  </w:r>
                </w:p>
              </w:tc>
              <w:tc>
                <w:tcPr>
                  <w:tcW w:w="264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shd w:val="clear" w:color="auto" w:fill="auto"/>
                </w:tcPr>
                <w:p>
                  <w:r>
                    <w:rPr>
                      <w:rFonts w:hint="default" w:ascii="Times New Roman" w:hAnsi="Times New Roman" w:cs="Times New Roman" w:eastAsiaTheme="majorEastAsia"/>
                      <w:sz w:val="21"/>
                      <w:szCs w:val="21"/>
                    </w:rPr>
                    <w:t>杜绝重伤、死亡和火灾事故，一般事故年度负伤频率控制在2‰以下</w:t>
                  </w:r>
                </w:p>
              </w:tc>
              <w:tc>
                <w:tcPr>
                  <w:tcW w:w="2646" w:type="dxa"/>
                  <w:shd w:val="clear" w:color="auto" w:fill="auto"/>
                  <w:vAlign w:val="center"/>
                </w:tcPr>
                <w:p>
                  <w:pPr>
                    <w:rPr>
                      <w:rFonts w:hint="default" w:eastAsia="宋体"/>
                      <w:lang w:val="en-US" w:eastAsia="zh-CN"/>
                    </w:rPr>
                  </w:pPr>
                  <w:r>
                    <w:rPr>
                      <w:rFonts w:hint="eastAsia"/>
                      <w:lang w:val="en-US" w:eastAsia="zh-CN"/>
                    </w:rPr>
                    <w:t>制定管理方案</w:t>
                  </w:r>
                </w:p>
              </w:tc>
              <w:tc>
                <w:tcPr>
                  <w:tcW w:w="1350" w:type="dxa"/>
                  <w:shd w:val="clear" w:color="auto" w:fill="auto"/>
                  <w:vAlign w:val="center"/>
                </w:tcPr>
                <w:p>
                  <w:pPr>
                    <w:rPr>
                      <w:rFonts w:hint="eastAsia" w:eastAsia="宋体"/>
                      <w:lang w:val="en-US" w:eastAsia="zh-CN"/>
                    </w:rPr>
                  </w:pPr>
                  <w:r>
                    <w:rPr>
                      <w:rFonts w:hint="eastAsia"/>
                      <w:lang w:val="en-US" w:eastAsia="zh-CN"/>
                    </w:rPr>
                    <w:t>保安服务部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shd w:val="clear" w:color="auto" w:fill="auto"/>
                </w:tcPr>
                <w:p>
                  <w:r>
                    <w:rPr>
                      <w:rFonts w:hint="default" w:ascii="Times New Roman" w:hAnsi="Times New Roman" w:cs="Times New Roman" w:eastAsiaTheme="majorEastAsia"/>
                      <w:sz w:val="21"/>
                      <w:szCs w:val="21"/>
                    </w:rPr>
                    <w:t>及时有效的为员工配备必要的劳动防护用品，杜绝</w:t>
                  </w:r>
                  <w:r>
                    <w:rPr>
                      <w:rFonts w:hint="default" w:ascii="Times New Roman" w:hAnsi="Times New Roman" w:cs="Times New Roman" w:eastAsiaTheme="majorEastAsia"/>
                      <w:sz w:val="21"/>
                      <w:szCs w:val="21"/>
                      <w:lang w:val="en-US" w:eastAsia="zh-CN"/>
                    </w:rPr>
                    <w:t>传染病</w:t>
                  </w:r>
                  <w:r>
                    <w:rPr>
                      <w:rFonts w:hint="default" w:ascii="Times New Roman" w:hAnsi="Times New Roman" w:cs="Times New Roman" w:eastAsiaTheme="majorEastAsia"/>
                      <w:sz w:val="21"/>
                      <w:szCs w:val="21"/>
                    </w:rPr>
                    <w:t>病的发生</w:t>
                  </w:r>
                </w:p>
              </w:tc>
              <w:tc>
                <w:tcPr>
                  <w:tcW w:w="264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制定管理方案</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保安服务部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default" w:ascii="Times New Roman" w:hAnsi="Times New Roman" w:cs="Times New Roman" w:eastAsiaTheme="majorEastAsia"/>
                <w:b w:val="0"/>
                <w:bCs w:val="0"/>
                <w:color w:val="000000"/>
                <w:sz w:val="21"/>
                <w:szCs w:val="21"/>
                <w:u w:val="none"/>
              </w:rPr>
              <w:t>橡胶棒</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防刺服</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防刺手套</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钢叉</w:t>
            </w:r>
            <w:r>
              <w:rPr>
                <w:rFonts w:hint="default" w:ascii="Times New Roman" w:hAnsi="Times New Roman" w:cs="Times New Roman" w:eastAsiaTheme="majorEastAsia"/>
                <w:b w:val="0"/>
                <w:bCs w:val="0"/>
                <w:color w:val="000000"/>
                <w:sz w:val="21"/>
                <w:szCs w:val="21"/>
                <w:u w:val="none"/>
                <w:lang w:eastAsia="zh-CN"/>
              </w:rPr>
              <w:t>、</w:t>
            </w:r>
            <w:r>
              <w:rPr>
                <w:rFonts w:hint="default" w:ascii="Times New Roman" w:hAnsi="Times New Roman" w:cs="Times New Roman" w:eastAsiaTheme="majorEastAsia"/>
                <w:b w:val="0"/>
                <w:bCs w:val="0"/>
                <w:color w:val="000000"/>
                <w:sz w:val="21"/>
                <w:szCs w:val="21"/>
                <w:u w:val="none"/>
              </w:rPr>
              <w:t>盾牌</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制定应急预案，进行消防演练</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w:t>
            </w:r>
            <w:r>
              <w:rPr>
                <w:rFonts w:hint="eastAsia"/>
              </w:rPr>
              <w:t>日进行了</w:t>
            </w:r>
            <w:r>
              <w:rPr>
                <w:rFonts w:hint="eastAsia"/>
                <w:lang w:val="en-US" w:eastAsia="zh-CN"/>
              </w:rPr>
              <w:t>火灾</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Times New Roman" w:hAnsi="Times New Roman" w:cs="宋体"/>
                <w:bCs w:val="0"/>
                <w:color w:val="0000FF"/>
                <w:spacing w:val="0"/>
                <w:kern w:val="2"/>
                <w:sz w:val="21"/>
                <w:lang w:val="en-US" w:eastAsia="zh-CN" w:bidi="ar-SA"/>
              </w:rPr>
              <w:t>公司识别的不可接受风险包括新冠病毒感染，并制定了相应的目标管理方案——杜绝传染病，制定重大传染病应急预案，现场未能提供相关的应急预案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p>
      <w:pPr>
        <w:pStyle w:val="1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5453CD6"/>
    <w:rsid w:val="51967373"/>
    <w:rsid w:val="6FC56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2022-10-11T08:28:06Z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