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1078-2022-QO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陕西澄合经纬新材料有限公司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陕西澄合经纬新材料有限公司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陕西省渭南市合阳县王村镇王村矿</w:t>
            </w:r>
            <w:bookmarkEnd w:id="6"/>
          </w:p>
        </w:tc>
        <w:tc>
          <w:tcPr>
            <w:tcW w:w="1242" w:type="dxa"/>
            <w:vMerge w:val="restart"/>
            <w:vAlign w:val="center"/>
          </w:tcPr>
          <w:p>
            <w:r>
              <w:rPr>
                <w:rFonts w:hint="eastAsia"/>
              </w:rPr>
              <w:t>邮编</w:t>
            </w:r>
          </w:p>
        </w:tc>
        <w:tc>
          <w:tcPr>
            <w:tcW w:w="1771" w:type="dxa"/>
          </w:tcPr>
          <w:p>
            <w:bookmarkStart w:id="7" w:name="注册邮编"/>
            <w:r>
              <w:t>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陕西省渭南市合阳县王村镇王村矿</w:t>
            </w:r>
            <w:bookmarkEnd w:id="8"/>
          </w:p>
        </w:tc>
        <w:tc>
          <w:tcPr>
            <w:tcW w:w="1242" w:type="dxa"/>
            <w:vMerge w:val="continue"/>
            <w:vAlign w:val="center"/>
          </w:tcPr>
          <w:p/>
        </w:tc>
        <w:tc>
          <w:tcPr>
            <w:tcW w:w="1771" w:type="dxa"/>
          </w:tcPr>
          <w:p>
            <w:bookmarkStart w:id="9" w:name="办公邮编"/>
            <w:r>
              <w:t>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魏小伟</w:t>
            </w:r>
            <w:bookmarkEnd w:id="10"/>
          </w:p>
        </w:tc>
        <w:tc>
          <w:tcPr>
            <w:tcW w:w="1313" w:type="dxa"/>
            <w:vAlign w:val="center"/>
          </w:tcPr>
          <w:p>
            <w:r>
              <w:rPr>
                <w:rFonts w:hint="eastAsia"/>
              </w:rPr>
              <w:t>电话.</w:t>
            </w:r>
          </w:p>
        </w:tc>
        <w:tc>
          <w:tcPr>
            <w:tcW w:w="2180" w:type="dxa"/>
            <w:vAlign w:val="center"/>
          </w:tcPr>
          <w:p>
            <w:bookmarkStart w:id="11" w:name="联系人电话"/>
            <w:r>
              <w:t>15389252311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吉茂虎</w:t>
            </w:r>
            <w:bookmarkEnd w:id="13"/>
          </w:p>
        </w:tc>
        <w:tc>
          <w:tcPr>
            <w:tcW w:w="1313" w:type="dxa"/>
            <w:vAlign w:val="center"/>
          </w:tcPr>
          <w:p>
            <w:r>
              <w:rPr>
                <w:rFonts w:hint="eastAsia"/>
              </w:rPr>
              <w:t>管理者代表</w:t>
            </w:r>
          </w:p>
        </w:tc>
        <w:tc>
          <w:tcPr>
            <w:tcW w:w="2180" w:type="dxa"/>
          </w:tcPr>
          <w:p>
            <w:bookmarkStart w:id="14" w:name="管理者代表"/>
            <w:r>
              <w:t>魏小伟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宋体" w:hAnsi="宋体" w:eastAsia="宋体"/>
                <w:lang w:val="en-US" w:eastAsia="zh-CN"/>
              </w:rPr>
            </w:pPr>
            <w:r>
              <w:rPr>
                <w:rFonts w:hint="eastAsia" w:ascii="宋体" w:hAnsi="宋体" w:eastAsia="宋体"/>
                <w:lang w:val="en-US" w:eastAsia="zh-CN"/>
              </w:rPr>
              <w:t>煤矿用钢丝网骨架复合管材的生产流程：</w:t>
            </w:r>
          </w:p>
          <w:p>
            <w:pPr>
              <w:spacing w:line="400" w:lineRule="exact"/>
              <w:rPr>
                <w:rFonts w:hint="eastAsia" w:ascii="宋体" w:hAnsi="宋体" w:eastAsia="宋体"/>
                <w:lang w:val="en-US" w:eastAsia="zh-CN"/>
              </w:rPr>
            </w:pPr>
            <w:r>
              <w:rPr>
                <w:rFonts w:hint="eastAsia" w:ascii="宋体" w:hAnsi="宋体" w:eastAsia="宋体"/>
                <w:lang w:val="en-US" w:eastAsia="zh-CN"/>
              </w:rPr>
              <w:t>钢丝缠绕</w:t>
            </w:r>
            <w:r>
              <w:rPr>
                <w:rFonts w:hint="eastAsia"/>
                <w:b/>
                <w:sz w:val="20"/>
                <w:lang w:val="en-US" w:eastAsia="zh-CN"/>
              </w:rPr>
              <w:t>→</w:t>
            </w:r>
            <w:r>
              <w:rPr>
                <w:rFonts w:hint="eastAsia" w:ascii="宋体" w:hAnsi="宋体" w:eastAsia="宋体"/>
                <w:lang w:val="en-US" w:eastAsia="zh-CN"/>
              </w:rPr>
              <w:t>混料→芯管挤出→真空定径及冷却→钢丝缠绕粘合→外层复合→冷却定型→切割→封口→检验→入库</w:t>
            </w:r>
          </w:p>
          <w:p>
            <w:pPr>
              <w:spacing w:line="400" w:lineRule="exact"/>
              <w:rPr>
                <w:rFonts w:hint="eastAsia" w:ascii="宋体" w:hAnsi="宋体" w:eastAsia="宋体"/>
                <w:lang w:val="en-US" w:eastAsia="zh-CN"/>
              </w:rPr>
            </w:pPr>
            <w:r>
              <w:rPr>
                <w:rFonts w:hint="eastAsia" w:ascii="宋体" w:hAnsi="宋体" w:eastAsia="宋体"/>
                <w:lang w:val="en-US" w:eastAsia="zh-CN"/>
              </w:rPr>
              <w:t>聚乙烯(PE)管材的生产流程：</w:t>
            </w:r>
          </w:p>
          <w:p>
            <w:pPr>
              <w:spacing w:line="400" w:lineRule="exact"/>
              <w:rPr>
                <w:rFonts w:hint="eastAsia" w:ascii="宋体" w:hAnsi="宋体" w:eastAsia="宋体"/>
                <w:lang w:val="en-US" w:eastAsia="zh-CN"/>
              </w:rPr>
            </w:pPr>
            <w:r>
              <w:rPr>
                <w:rFonts w:hint="eastAsia" w:ascii="宋体" w:hAnsi="宋体" w:eastAsia="宋体"/>
                <w:lang w:val="en-US" w:eastAsia="zh-CN"/>
              </w:rPr>
              <w:t>混料→芯管挤出→真空定径及冷却→切割→封口→检验→入库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2022年09月25日 上午至2022年09月26日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陕西省渭南市合阳县王村镇王村矿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Q：煤矿用钢丝网骨架聚乙烯液体管材、聚乙烯(PE)管材的生产和销售;矿山机械、塑料制品销售</w:t>
            </w:r>
          </w:p>
          <w:p>
            <w:r>
              <w:t>O：煤矿用钢丝网骨架聚乙烯液体管材、聚乙烯(PE)管材的生产和销售;矿山机械、塑料制品销售所涉及场所的相关职业健康安全管理活动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Q：14.02.01;29.12.00</w:t>
            </w:r>
          </w:p>
          <w:p>
            <w:r>
              <w:t>O：14.02.01;29.12.00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91"/>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23" w:type="dxa"/>
            <w:shd w:val="clear" w:color="auto" w:fill="F3F3F3"/>
            <w:tcMar>
              <w:left w:w="57" w:type="dxa"/>
              <w:right w:w="57" w:type="dxa"/>
            </w:tcMar>
          </w:tcPr>
          <w:p>
            <w:r>
              <w:rPr>
                <w:rFonts w:hint="eastAsia"/>
              </w:rPr>
              <w:t>场所编号</w:t>
            </w:r>
          </w:p>
        </w:tc>
        <w:tc>
          <w:tcPr>
            <w:tcW w:w="2191"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723" w:type="dxa"/>
            <w:vAlign w:val="center"/>
          </w:tcPr>
          <w:p>
            <w:pPr>
              <w:spacing w:before="40" w:after="40"/>
              <w:rPr>
                <w:lang w:eastAsia="ja-JP"/>
              </w:rPr>
            </w:pPr>
            <w:r>
              <w:rPr>
                <w:rFonts w:eastAsia="黑体"/>
                <w:szCs w:val="21"/>
                <w:lang w:eastAsia="ja-JP"/>
              </w:rPr>
              <w:t>01</w:t>
            </w:r>
          </w:p>
        </w:tc>
        <w:tc>
          <w:tcPr>
            <w:tcW w:w="2191" w:type="dxa"/>
            <w:vAlign w:val="top"/>
          </w:tcPr>
          <w:p>
            <w:pPr>
              <w:spacing w:before="40" w:after="40"/>
              <w:rPr>
                <w:rFonts w:ascii="Times New Roman" w:hAnsi="Times New Roman" w:eastAsia="宋体" w:cs="Times New Roman"/>
              </w:rPr>
            </w:pPr>
            <w:r>
              <w:rPr>
                <w:rFonts w:ascii="Times New Roman" w:hAnsi="Times New Roman" w:eastAsia="宋体" w:cs="Times New Roman"/>
              </w:rPr>
              <w:t>陕西澄合经纬新材料有限公司</w:t>
            </w:r>
          </w:p>
          <w:p>
            <w:pPr>
              <w:spacing w:before="40" w:after="40"/>
              <w:rPr>
                <w:rFonts w:ascii="Times New Roman" w:hAnsi="Times New Roman" w:eastAsia="宋体" w:cs="Times New Roman"/>
              </w:rPr>
            </w:pPr>
            <w:r>
              <w:rPr>
                <w:rFonts w:ascii="Times New Roman" w:hAnsi="Times New Roman" w:eastAsia="宋体" w:cs="Times New Roman"/>
              </w:rPr>
              <w:t>陕西省渭南市合阳县王村镇王村矿</w:t>
            </w:r>
          </w:p>
          <w:p>
            <w:pPr>
              <w:spacing w:before="40" w:after="40"/>
              <w:rPr>
                <w:lang w:val="de-DE" w:eastAsia="ja-JP"/>
              </w:rPr>
            </w:pPr>
          </w:p>
        </w:tc>
        <w:tc>
          <w:tcPr>
            <w:tcW w:w="2267" w:type="dxa"/>
            <w:vAlign w:val="top"/>
          </w:tcPr>
          <w:p>
            <w:pPr>
              <w:spacing w:before="40" w:after="40"/>
              <w:rPr>
                <w:lang w:val="de-DE" w:eastAsia="ja-JP"/>
              </w:rPr>
            </w:pPr>
            <w:r>
              <w:rPr>
                <w:rFonts w:ascii="Times New Roman" w:hAnsi="Times New Roman" w:eastAsia="宋体" w:cs="Times New Roman"/>
              </w:rPr>
              <w:t>陕西省渭南市合阳县王村镇王村矿</w:t>
            </w:r>
          </w:p>
        </w:tc>
        <w:tc>
          <w:tcPr>
            <w:tcW w:w="571" w:type="dxa"/>
            <w:vAlign w:val="center"/>
          </w:tcPr>
          <w:p>
            <w:pPr>
              <w:spacing w:before="40" w:after="40"/>
              <w:rPr>
                <w:lang w:eastAsia="ja-JP"/>
              </w:rPr>
            </w:pPr>
            <w:r>
              <w:rPr>
                <w:rFonts w:hint="eastAsia" w:ascii="Times New Roman" w:hAnsi="Times New Roman" w:eastAsia="宋体" w:cs="Times New Roman"/>
                <w:lang w:val="en-US" w:eastAsia="zh-CN"/>
              </w:rPr>
              <w:t>20</w:t>
            </w:r>
          </w:p>
        </w:tc>
        <w:tc>
          <w:tcPr>
            <w:tcW w:w="2803" w:type="dxa"/>
            <w:vAlign w:val="center"/>
          </w:tcPr>
          <w:p>
            <w:pPr>
              <w:spacing w:before="40" w:after="40"/>
              <w:rPr>
                <w:rFonts w:hint="eastAsia" w:ascii="Times New Roman" w:hAnsi="Times New Roman" w:eastAsia="宋体" w:cs="Times New Roman"/>
              </w:rPr>
            </w:pPr>
            <w:r>
              <w:rPr>
                <w:rFonts w:hint="eastAsia" w:ascii="Times New Roman" w:hAnsi="Times New Roman" w:eastAsia="宋体" w:cs="Times New Roman"/>
              </w:rPr>
              <w:t>煤矿用钢丝网骨架聚乙烯液体管材、聚乙烯(PE)管材的生产和销售;矿山机械、塑料制品销售</w:t>
            </w:r>
          </w:p>
          <w:p>
            <w:pPr>
              <w:spacing w:before="40" w:after="40"/>
              <w:rPr>
                <w:lang w:eastAsia="ja-JP"/>
              </w:rPr>
            </w:pPr>
            <w:r>
              <w:rPr>
                <w:rFonts w:hint="eastAsia" w:ascii="Times New Roman" w:hAnsi="Times New Roman" w:eastAsia="宋体" w:cs="Times New Roman"/>
              </w:rPr>
              <w:t>煤矿用钢丝网骨架聚乙烯液体管材、聚乙烯(PE)管材的生产和销售;矿山机械、塑料制品销售所涉及场所的相关职业健康安全管理活动</w:t>
            </w:r>
          </w:p>
        </w:tc>
        <w:tc>
          <w:tcPr>
            <w:tcW w:w="669" w:type="dxa"/>
            <w:vAlign w:val="center"/>
          </w:tcPr>
          <w:p>
            <w:pPr>
              <w:spacing w:before="40" w:after="40"/>
              <w:rPr>
                <w:rFonts w:hint="eastAsia" w:ascii="Times New Roman" w:hAnsi="Times New Roman" w:eastAsia="宋体" w:cs="Times New Roman"/>
              </w:rPr>
            </w:pPr>
            <w:r>
              <w:rPr>
                <w:rFonts w:hint="eastAsia" w:ascii="Times New Roman" w:hAnsi="Times New Roman" w:eastAsia="宋体" w:cs="Times New Roman"/>
              </w:rPr>
              <w:t>GB/T19001-2016</w:t>
            </w:r>
          </w:p>
          <w:p>
            <w:pPr>
              <w:spacing w:before="40" w:after="40"/>
              <w:rPr>
                <w:rFonts w:hint="eastAsia" w:ascii="Times New Roman" w:hAnsi="Times New Roman" w:eastAsia="宋体" w:cs="Times New Roman"/>
              </w:rPr>
            </w:pPr>
          </w:p>
          <w:p>
            <w:pPr>
              <w:spacing w:before="40" w:after="40"/>
              <w:rPr>
                <w:lang w:eastAsia="ja-JP"/>
              </w:rPr>
            </w:pPr>
            <w:r>
              <w:rPr>
                <w:rFonts w:hint="eastAsia" w:ascii="Times New Roman" w:hAnsi="Times New Roman" w:eastAsia="宋体" w:cs="Times New Roman"/>
              </w:rPr>
              <w:t>GB/T 45001-2020</w:t>
            </w:r>
          </w:p>
        </w:tc>
        <w:tc>
          <w:tcPr>
            <w:tcW w:w="668" w:type="dxa"/>
            <w:shd w:val="clear" w:color="auto" w:fill="FFFFFF"/>
            <w:vAlign w:val="top"/>
          </w:tcPr>
          <w:sdt>
            <w:sdtPr>
              <w:rPr>
                <w:rFonts w:ascii="Times New Roman" w:hAnsi="Times New Roman" w:eastAsia="宋体" w:cs="Times New Roman"/>
              </w:rPr>
              <w:id w:val="271604670"/>
            </w:sdtPr>
            <w:sdtEndPr>
              <w:rPr>
                <w:rFonts w:ascii="Times New Roman" w:hAnsi="Times New Roman" w:eastAsia="宋体" w:cs="Times New Roman"/>
              </w:rPr>
            </w:sdtEndPr>
            <w:sdtContent>
              <w:p>
                <w:pPr>
                  <w:rPr>
                    <w:rFonts w:ascii="Times New Roman" w:hAnsi="Times New Roman" w:eastAsia="宋体" w:cs="Times New Roman"/>
                  </w:rPr>
                </w:pPr>
                <w:r>
                  <w:rPr>
                    <w:rFonts w:hint="eastAsia" w:ascii="宋体" w:hAnsi="宋体"/>
                    <w:color w:val="000000"/>
                    <w:spacing w:val="-10"/>
                    <w:szCs w:val="21"/>
                    <w:lang w:eastAsia="zh-CN"/>
                  </w:rPr>
                  <w:t>☑</w:t>
                </w:r>
              </w:p>
            </w:sdtContent>
          </w:sdt>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Align w:val="center"/>
          </w:tcPr>
          <w:p>
            <w:pPr>
              <w:rPr>
                <w:lang w:eastAsia="ja-JP"/>
              </w:rPr>
            </w:pPr>
            <w:r>
              <w:rPr>
                <w:rFonts w:hint="eastAsia"/>
                <w:lang w:eastAsia="ja-JP"/>
              </w:rPr>
              <w:t>02</w:t>
            </w:r>
          </w:p>
        </w:tc>
        <w:tc>
          <w:tcPr>
            <w:tcW w:w="2191"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Align w:val="center"/>
          </w:tcPr>
          <w:p>
            <w:pPr>
              <w:rPr>
                <w:lang w:eastAsia="ja-JP"/>
              </w:rPr>
            </w:pPr>
            <w:r>
              <w:rPr>
                <w:rFonts w:hint="eastAsia"/>
                <w:lang w:eastAsia="ja-JP"/>
              </w:rPr>
              <w:t>03</w:t>
            </w:r>
          </w:p>
        </w:tc>
        <w:tc>
          <w:tcPr>
            <w:tcW w:w="2191"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Align w:val="center"/>
          </w:tcPr>
          <w:p>
            <w:pPr>
              <w:rPr>
                <w:lang w:eastAsia="ja-JP"/>
              </w:rPr>
            </w:pPr>
            <w:r>
              <w:rPr>
                <w:rFonts w:hint="eastAsia"/>
                <w:lang w:eastAsia="ja-JP"/>
              </w:rPr>
              <w:t>04</w:t>
            </w:r>
          </w:p>
        </w:tc>
        <w:tc>
          <w:tcPr>
            <w:tcW w:w="2191"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Align w:val="center"/>
          </w:tcPr>
          <w:p>
            <w:pPr>
              <w:rPr>
                <w:lang w:eastAsia="ja-JP"/>
              </w:rPr>
            </w:pPr>
            <w:r>
              <w:rPr>
                <w:rFonts w:hint="eastAsia"/>
                <w:lang w:eastAsia="ja-JP"/>
              </w:rPr>
              <w:t>05</w:t>
            </w:r>
          </w:p>
        </w:tc>
        <w:tc>
          <w:tcPr>
            <w:tcW w:w="2191"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2021-N1OHSMS-2222792</w:t>
            </w:r>
          </w:p>
        </w:tc>
        <w:tc>
          <w:tcPr>
            <w:tcW w:w="2179" w:type="dxa"/>
            <w:vAlign w:val="center"/>
          </w:tcPr>
          <w:p>
            <w:r>
              <w:t>Q:14.02.01,29.12.00</w:t>
            </w:r>
          </w:p>
          <w:p>
            <w:r>
              <w:t>O:14.02.01,29.12.00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2022-N0OHSMS-1263290</w:t>
            </w:r>
          </w:p>
        </w:tc>
        <w:tc>
          <w:tcPr>
            <w:tcW w:w="2179" w:type="dxa"/>
            <w:vAlign w:val="center"/>
          </w:tcPr>
          <w:p>
            <w:r>
              <w:t>Q:29.12.00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401320</wp:posOffset>
                  </wp:positionH>
                  <wp:positionV relativeFrom="paragraph">
                    <wp:posOffset>157480</wp:posOffset>
                  </wp:positionV>
                  <wp:extent cx="330200" cy="254000"/>
                  <wp:effectExtent l="0" t="0" r="0" b="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30200" cy="254000"/>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最高管理者制定了文件化的管理体系方针：以“求实、创新”持续改进管理</w:t>
            </w:r>
          </w:p>
          <w:p>
            <w:pPr>
              <w:shd w:val="clear" w:color="auto" w:fill="C7DAF1" w:themeFill="text2" w:themeFillTint="32"/>
              <w:rPr>
                <w:rFonts w:hint="eastAsia"/>
              </w:rPr>
            </w:pPr>
            <w:r>
              <w:rPr>
                <w:rFonts w:hint="eastAsia"/>
              </w:rPr>
              <w:t>——不断关注顾客、辩识风险、预防污染、控制过程，确保产品优质；</w:t>
            </w:r>
          </w:p>
          <w:p>
            <w:pPr>
              <w:shd w:val="clear" w:color="auto" w:fill="C7DAF1" w:themeFill="text2" w:themeFillTint="32"/>
              <w:rPr>
                <w:rFonts w:hint="eastAsia"/>
              </w:rPr>
            </w:pPr>
            <w:r>
              <w:rPr>
                <w:rFonts w:hint="eastAsia"/>
              </w:rPr>
              <w:t>以“优质、高效”实现相关方满意</w:t>
            </w:r>
          </w:p>
          <w:p>
            <w:pPr>
              <w:shd w:val="clear" w:color="auto" w:fill="C7DAF1" w:themeFill="text2" w:themeFillTint="32"/>
            </w:pPr>
            <w:r>
              <w:rPr>
                <w:rFonts w:hint="eastAsia"/>
              </w:rPr>
              <w:t>——积极营造和维护健康、优质、美好的工作和生活环境，追求卓越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3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产品一次检验合格率≥9</w:t>
                  </w:r>
                  <w:r>
                    <w:rPr>
                      <w:rFonts w:hint="eastAsia"/>
                      <w:color w:val="auto"/>
                      <w:sz w:val="21"/>
                      <w:szCs w:val="21"/>
                      <w:lang w:val="en-US" w:eastAsia="zh-CN"/>
                    </w:rPr>
                    <w:t>8</w:t>
                  </w:r>
                  <w:r>
                    <w:rPr>
                      <w:rFonts w:hint="eastAsia"/>
                      <w:color w:val="auto"/>
                      <w:sz w:val="21"/>
                      <w:szCs w:val="21"/>
                    </w:rPr>
                    <w:t>％</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color w:val="000000"/>
                      <w:szCs w:val="21"/>
                    </w:rPr>
                    <w:t>顾客满意率  ≥9</w:t>
                  </w:r>
                  <w:r>
                    <w:rPr>
                      <w:rFonts w:hint="eastAsia"/>
                      <w:color w:val="000000"/>
                      <w:szCs w:val="21"/>
                      <w:lang w:val="en-US" w:eastAsia="zh-CN"/>
                    </w:rPr>
                    <w:t>5%</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91" w:type="dxa"/>
                  <w:shd w:val="clear" w:color="auto" w:fill="auto"/>
                  <w:vAlign w:val="center"/>
                </w:tcPr>
                <w:p>
                  <w:pPr>
                    <w:widowControl/>
                    <w:jc w:val="left"/>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tabs>
                      <w:tab w:val="left" w:pos="10080"/>
                    </w:tabs>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2714</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u w:val="single"/>
              </w:rPr>
            </w:pPr>
            <w:r>
              <w:rPr>
                <w:rFonts w:hint="eastAsia"/>
              </w:rPr>
              <w:t>主要生产设备有：</w:t>
            </w:r>
            <w:r>
              <w:rPr>
                <w:rFonts w:hint="eastAsia"/>
                <w:u w:val="single"/>
                <w:lang w:val="en-US" w:eastAsia="zh-CN"/>
              </w:rPr>
              <w:t>轮式牵引机、单盘收卷机、钢丝复绕机、混料机、单螺杆共挤机、四履带牵引机、钢丝缠绕机、钢丝放卷机、外 PE 层挤出机、共挤色线机、连接层挤出机、四履带牵引机</w:t>
            </w:r>
            <w:r>
              <w:rPr>
                <w:rFonts w:hint="eastAsia"/>
                <w:u w:val="single"/>
              </w:rPr>
              <w:t>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bookmarkStart w:id="34" w:name="_GoBack"/>
            <w:bookmarkEnd w:id="34"/>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u w:val="single"/>
              </w:rPr>
              <w:t>管材静液压爆破试验机、绝缘电阻测试仪、电子天平、酒精喷灯燃烧试验箱、拉力试验机、游标卡尺、秒表、计时器、钢直尺</w:t>
            </w:r>
            <w:r>
              <w:rPr>
                <w:rFonts w:hint="eastAsia"/>
                <w:u w:val="single"/>
                <w:lang w:val="en-US" w:eastAsia="zh-CN"/>
              </w:rPr>
              <w:t>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煤矿用钢丝网骨架复合管材、聚乙烯(PE)管材生产</w:t>
                  </w:r>
                </w:p>
              </w:tc>
              <w:tc>
                <w:tcPr>
                  <w:tcW w:w="3665" w:type="dxa"/>
                </w:tcPr>
                <w:p>
                  <w:pPr>
                    <w:shd w:val="clear" w:color="auto" w:fill="C7DAF1" w:themeFill="text2" w:themeFillTint="32"/>
                    <w:jc w:val="left"/>
                  </w:pPr>
                  <w:r>
                    <w:rPr>
                      <w:rFonts w:hint="eastAsia" w:ascii="宋体" w:hAnsi="宋体" w:eastAsia="宋体" w:cs="宋体"/>
                      <w:color w:val="000000"/>
                      <w:sz w:val="21"/>
                      <w:szCs w:val="21"/>
                      <w:lang w:val="en-US" w:eastAsia="zh-CN"/>
                    </w:rPr>
                    <w:t>真空定径及冷却</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矿山机械、塑料制品销售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销售服务过程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eastAsia="宋体" w:cs="宋体"/>
                <w:color w:val="000000"/>
                <w:sz w:val="21"/>
                <w:szCs w:val="21"/>
                <w:lang w:val="en-US" w:eastAsia="zh-CN"/>
              </w:rPr>
              <w:t>真空定径及冷却</w:t>
            </w:r>
            <w:r>
              <w:rPr>
                <w:rFonts w:hint="eastAsia"/>
              </w:rPr>
              <w:t>，</w:t>
            </w:r>
          </w:p>
          <w:p>
            <w:pPr>
              <w:shd w:val="clear" w:color="auto" w:fill="C7DAF1" w:themeFill="text2" w:themeFillTint="32"/>
              <w:jc w:val="left"/>
              <w:rPr>
                <w:rFonts w:hint="default" w:eastAsia="宋体"/>
                <w:lang w:val="en-US" w:eastAsia="zh-CN"/>
              </w:rPr>
            </w:pPr>
            <w:r>
              <w:rPr>
                <w:rFonts w:hint="eastAsia" w:ascii="Wingdings" w:hAnsi="Wingdings"/>
              </w:rPr>
              <w:t>¨</w:t>
            </w:r>
            <w:r>
              <w:rPr>
                <w:rFonts w:hint="eastAsia"/>
              </w:rPr>
              <w:t>进行了有效的确认</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未对</w:t>
            </w:r>
            <w:r>
              <w:rPr>
                <w:rFonts w:hint="eastAsia" w:ascii="宋体" w:hAnsi="宋体" w:eastAsia="宋体" w:cs="宋体"/>
                <w:color w:val="000000"/>
                <w:sz w:val="21"/>
                <w:szCs w:val="21"/>
                <w:lang w:val="en-US" w:eastAsia="zh-CN"/>
              </w:rPr>
              <w:t>真空定径及冷却过程进行确认，已提出不符合项。</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宋体" w:hAnsi="宋体" w:eastAsia="宋体" w:cs="宋体"/>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7-8</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rPr>
          <w:rFonts w:eastAsia="微软雅黑"/>
        </w:rPr>
      </w:pPr>
      <w:r>
        <w:rPr>
          <w:rFonts w:eastAsia="微软雅黑"/>
        </w:rP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最高管理者制定了文件化的职业健康安全管理体系方针：以“求实、创新”持续改进管理</w:t>
            </w:r>
          </w:p>
          <w:p>
            <w:pPr>
              <w:rPr>
                <w:rFonts w:hint="eastAsia"/>
              </w:rPr>
            </w:pPr>
            <w:r>
              <w:rPr>
                <w:rFonts w:hint="eastAsia"/>
              </w:rPr>
              <w:t>——不断关注顾客、辩识风险、预防污染、控制过程，确保产品优质；</w:t>
            </w:r>
          </w:p>
          <w:p>
            <w:pPr>
              <w:rPr>
                <w:rFonts w:hint="eastAsia"/>
              </w:rPr>
            </w:pPr>
            <w:r>
              <w:rPr>
                <w:rFonts w:hint="eastAsia"/>
              </w:rPr>
              <w:t>以“优质、高效”实现相关方满意</w:t>
            </w:r>
          </w:p>
          <w:p>
            <w:r>
              <w:rPr>
                <w:rFonts w:hint="eastAsia"/>
              </w:rPr>
              <w:t>——积极营造和维护健康、优质、美好的工作和生活环境，追求卓越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应急管理局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p>
              </w:tc>
              <w:tc>
                <w:tcPr>
                  <w:tcW w:w="3965" w:type="dxa"/>
                  <w:vAlign w:val="top"/>
                </w:tcPr>
                <w:p>
                  <w:pPr>
                    <w:rPr>
                      <w:rFonts w:hint="default" w:ascii="Times New Roman" w:hAnsi="Times New Roman" w:eastAsia="宋体" w:cs="Times New Roman"/>
                      <w:lang w:val="en-US" w:eastAsia="zh-CN"/>
                    </w:rPr>
                  </w:pPr>
                </w:p>
              </w:tc>
              <w:tc>
                <w:tcPr>
                  <w:tcW w:w="1717" w:type="dxa"/>
                  <w:vAlign w:val="top"/>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各类重大伤亡事故发生率为零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default"/>
                      <w:lang w:val="en-US" w:eastAsia="zh-CN"/>
                    </w:rPr>
                  </w:pPr>
                  <w:r>
                    <w:rPr>
                      <w:rFonts w:hint="eastAsia"/>
                      <w:lang w:val="en-US" w:eastAsia="zh-CN"/>
                    </w:rPr>
                    <w:t>配置安全防护设施，要求员工佩戴安全防护用具</w:t>
                  </w:r>
                </w:p>
              </w:tc>
              <w:tc>
                <w:tcPr>
                  <w:tcW w:w="1350" w:type="dxa"/>
                  <w:shd w:val="clear" w:color="auto" w:fill="auto"/>
                  <w:vAlign w:val="center"/>
                </w:tcPr>
                <w:p>
                  <w:pPr>
                    <w:rPr>
                      <w:rFonts w:hint="default"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轻伤事故全年不超过3次</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default"/>
                      <w:lang w:val="en-US"/>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全年职业伤害病例为零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w:char="00FE"/>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2714</w:t>
            </w:r>
            <w:r>
              <w:rPr>
                <w:rFonts w:hint="eastAsia" w:ascii="Times New Roman" w:hAnsi="Times New Roman" w:eastAsia="宋体" w:cs="Times New Roman"/>
              </w:rPr>
              <w:t>万平方米；生产车间：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  实验中心</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p>
          <w:p>
            <w:pPr>
              <w:rPr>
                <w:rFonts w:hint="default" w:ascii="Times New Roman" w:hAnsi="Times New Roman" w:eastAsia="宋体" w:cs="Times New Roman"/>
                <w:lang w:val="en-US"/>
              </w:rPr>
            </w:pPr>
            <w:r>
              <w:rPr>
                <w:rFonts w:hint="eastAsia" w:ascii="Times New Roman" w:hAnsi="Times New Roman" w:eastAsia="宋体" w:cs="Times New Roman"/>
              </w:rPr>
              <w:t xml:space="preserve">主要生产设备有：  </w:t>
            </w:r>
            <w:r>
              <w:rPr>
                <w:rFonts w:hint="eastAsia" w:ascii="Times New Roman" w:hAnsi="Times New Roman" w:eastAsia="宋体" w:cs="Times New Roman"/>
                <w:u w:val="single"/>
                <w:lang w:val="en-US" w:eastAsia="zh-CN"/>
              </w:rPr>
              <w:t>式牵引机、单盘收卷机、钢丝复绕机、混料机、单螺杆共挤机、四履带牵引机、钢丝缠绕机、钢丝放卷机、外 PE 层挤出机、共挤色线机、连接层挤出机等</w:t>
            </w:r>
          </w:p>
          <w:p>
            <w:r>
              <w:rPr>
                <w:rFonts w:hint="eastAsia"/>
              </w:rPr>
              <w:t>主要</w:t>
            </w:r>
            <w:r>
              <w:rPr>
                <w:rFonts w:hint="eastAsia"/>
                <w:lang w:val="en-US" w:eastAsia="zh-CN"/>
              </w:rPr>
              <w:t>安全</w:t>
            </w:r>
            <w:r>
              <w:rPr>
                <w:rFonts w:hint="eastAsia"/>
              </w:rPr>
              <w:t>设备有：</w:t>
            </w:r>
            <w:r>
              <w:rPr>
                <w:rFonts w:hint="eastAsia"/>
                <w:u w:val="single"/>
              </w:rPr>
              <w:t xml:space="preserve">  </w:t>
            </w:r>
            <w:r>
              <w:rPr>
                <w:rFonts w:hint="eastAsia"/>
                <w:u w:val="single"/>
                <w:lang w:val="en-US" w:eastAsia="zh-CN"/>
              </w:rPr>
              <w:t>灭火器等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w:char="00FE"/>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sym w:font="Wingdings" w:char="00A8"/>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w:char="00A8"/>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A8"/>
            </w:r>
            <w:r>
              <w:rPr>
                <w:rFonts w:hint="eastAsia"/>
              </w:rPr>
              <w:t>电工</w:t>
            </w:r>
            <w:r>
              <w:rPr>
                <w:rFonts w:hint="eastAsia" w:ascii="Wingdings" w:hAnsi="Wingdings"/>
              </w:rPr>
              <w:sym w:font="Wingdings" w:char="00A8"/>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w:char="00A8"/>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22</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7-8</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26</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65D0F82"/>
    <w:rsid w:val="15F4486A"/>
    <w:rsid w:val="180E2273"/>
    <w:rsid w:val="207B2B57"/>
    <w:rsid w:val="37E312B6"/>
    <w:rsid w:val="3D3162C4"/>
    <w:rsid w:val="59A673BE"/>
    <w:rsid w:val="7CD82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2022-09-26T02:24:26Z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