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1078-2022-QO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陕西澄合经纬新材料有限公司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2022年09月24日 上午至2022年09月24日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陕西省渭南市合阳县王村镇王村矿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00"/>
        <w:gridCol w:w="201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00" w:type="dxa"/>
            <w:vAlign w:val="center"/>
          </w:tcPr>
          <w:p>
            <w:pPr>
              <w:spacing w:line="240" w:lineRule="exact"/>
              <w:jc w:val="center"/>
              <w:rPr>
                <w:b/>
                <w:color w:val="000000"/>
                <w:szCs w:val="21"/>
              </w:rPr>
            </w:pPr>
            <w:r>
              <w:rPr>
                <w:rFonts w:hint="eastAsia"/>
                <w:szCs w:val="21"/>
              </w:rPr>
              <w:t>审核员注册证书号</w:t>
            </w:r>
          </w:p>
        </w:tc>
        <w:tc>
          <w:tcPr>
            <w:tcW w:w="201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000" w:type="dxa"/>
            <w:vAlign w:val="center"/>
          </w:tcPr>
          <w:p>
            <w:pPr>
              <w:spacing w:line="240" w:lineRule="exact"/>
              <w:jc w:val="center"/>
              <w:rPr>
                <w:b/>
                <w:color w:val="000000"/>
                <w:szCs w:val="21"/>
              </w:rPr>
            </w:pPr>
            <w:r>
              <w:rPr>
                <w:b/>
                <w:color w:val="000000"/>
                <w:szCs w:val="21"/>
              </w:rPr>
              <w:t>2021-N1QMS-2222792</w:t>
            </w:r>
          </w:p>
          <w:p>
            <w:pPr>
              <w:spacing w:line="240" w:lineRule="exact"/>
              <w:jc w:val="center"/>
              <w:rPr>
                <w:b/>
                <w:color w:val="000000"/>
                <w:szCs w:val="21"/>
              </w:rPr>
            </w:pPr>
            <w:r>
              <w:rPr>
                <w:b/>
                <w:color w:val="000000"/>
                <w:szCs w:val="21"/>
              </w:rPr>
              <w:t>2021-N1OHSMS-2222792</w:t>
            </w:r>
          </w:p>
        </w:tc>
        <w:tc>
          <w:tcPr>
            <w:tcW w:w="2010" w:type="dxa"/>
            <w:vAlign w:val="center"/>
          </w:tcPr>
          <w:p>
            <w:pPr>
              <w:spacing w:line="240" w:lineRule="exact"/>
              <w:jc w:val="center"/>
              <w:rPr>
                <w:b/>
                <w:color w:val="000000"/>
                <w:szCs w:val="21"/>
              </w:rPr>
            </w:pPr>
            <w:r>
              <w:rPr>
                <w:b/>
                <w:color w:val="000000"/>
                <w:szCs w:val="21"/>
              </w:rPr>
              <w:t>Q:14.02.01,29.12.00</w:t>
            </w:r>
          </w:p>
          <w:p>
            <w:pPr>
              <w:spacing w:line="240" w:lineRule="exact"/>
              <w:jc w:val="center"/>
              <w:rPr>
                <w:b/>
                <w:color w:val="000000"/>
                <w:szCs w:val="21"/>
              </w:rPr>
            </w:pPr>
            <w:r>
              <w:rPr>
                <w:b/>
                <w:color w:val="000000"/>
                <w:szCs w:val="21"/>
              </w:rPr>
              <w:t>O:14.02.01,29.12.00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000" w:type="dxa"/>
            <w:vAlign w:val="center"/>
          </w:tcPr>
          <w:p>
            <w:pPr>
              <w:spacing w:line="240" w:lineRule="exact"/>
              <w:jc w:val="center"/>
              <w:rPr>
                <w:b/>
                <w:color w:val="000000"/>
                <w:szCs w:val="21"/>
              </w:rPr>
            </w:pPr>
            <w:r>
              <w:rPr>
                <w:b/>
                <w:color w:val="000000"/>
                <w:szCs w:val="21"/>
              </w:rPr>
              <w:t>2021-N1QMS-1263290</w:t>
            </w:r>
          </w:p>
          <w:p>
            <w:pPr>
              <w:spacing w:line="240" w:lineRule="exact"/>
              <w:jc w:val="center"/>
              <w:rPr>
                <w:b/>
                <w:color w:val="000000"/>
                <w:szCs w:val="21"/>
              </w:rPr>
            </w:pPr>
            <w:r>
              <w:rPr>
                <w:b/>
                <w:color w:val="000000"/>
                <w:szCs w:val="21"/>
              </w:rPr>
              <w:t>2022-N0OHSMS-1263290</w:t>
            </w:r>
          </w:p>
        </w:tc>
        <w:tc>
          <w:tcPr>
            <w:tcW w:w="201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201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201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201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201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201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00" w:type="dxa"/>
            <w:vAlign w:val="center"/>
          </w:tcPr>
          <w:p>
            <w:pPr>
              <w:rPr>
                <w:b/>
                <w:color w:val="000000"/>
                <w:szCs w:val="21"/>
              </w:rPr>
            </w:pPr>
            <w:r>
              <w:rPr>
                <w:rFonts w:hint="eastAsia"/>
                <w:b/>
                <w:color w:val="000000"/>
                <w:szCs w:val="21"/>
              </w:rPr>
              <w:t>工作单位</w:t>
            </w:r>
          </w:p>
        </w:tc>
        <w:tc>
          <w:tcPr>
            <w:tcW w:w="309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00" w:type="dxa"/>
            <w:vAlign w:val="center"/>
          </w:tcPr>
          <w:p>
            <w:pPr>
              <w:rPr>
                <w:b/>
                <w:color w:val="000000"/>
                <w:szCs w:val="21"/>
              </w:rPr>
            </w:pPr>
          </w:p>
        </w:tc>
        <w:tc>
          <w:tcPr>
            <w:tcW w:w="309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00" w:type="dxa"/>
            <w:vAlign w:val="center"/>
          </w:tcPr>
          <w:p>
            <w:pPr>
              <w:rPr>
                <w:b/>
                <w:color w:val="000000"/>
                <w:szCs w:val="21"/>
                <w:highlight w:val="green"/>
              </w:rPr>
            </w:pPr>
          </w:p>
        </w:tc>
        <w:tc>
          <w:tcPr>
            <w:tcW w:w="309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陕西澄合经纬新材料有限公司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陕西省渭南市合阳县王村镇王村矿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陕西省渭南市合阳县王村镇王村矿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魏小伟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15389252311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吉茂虎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魏小伟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煤矿用钢丝网骨架聚乙烯液体管材、聚乙烯(PE)管材、矿山机械、塑料制品</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lang w:val="en-US" w:eastAsia="zh-CN"/>
              </w:rPr>
            </w:pPr>
            <w:r>
              <w:rPr>
                <w:rFonts w:hint="eastAsia"/>
                <w:lang w:val="en-US" w:eastAsia="zh-CN"/>
              </w:rPr>
              <w:t>煤矿用钢丝网骨架复合管材的生产流程：</w:t>
            </w:r>
          </w:p>
          <w:p>
            <w:pPr>
              <w:spacing w:line="400" w:lineRule="exact"/>
              <w:rPr>
                <w:rFonts w:hint="eastAsia"/>
                <w:lang w:val="en-US" w:eastAsia="zh-CN"/>
              </w:rPr>
            </w:pPr>
            <w:r>
              <w:rPr>
                <w:rFonts w:hint="eastAsia"/>
                <w:lang w:val="en-US" w:eastAsia="zh-CN"/>
              </w:rPr>
              <w:t>钢丝缠绕→混料→芯管挤出→真空定径及冷却→钢丝缠绕粘合→外层复合→冷却定型→切割→封口→检验→入库</w:t>
            </w:r>
          </w:p>
          <w:p>
            <w:pPr>
              <w:spacing w:line="400" w:lineRule="exact"/>
              <w:rPr>
                <w:rFonts w:hint="eastAsia"/>
                <w:lang w:val="en-US" w:eastAsia="zh-CN"/>
              </w:rPr>
            </w:pPr>
            <w:r>
              <w:rPr>
                <w:rFonts w:hint="eastAsia"/>
                <w:lang w:val="en-US" w:eastAsia="zh-CN"/>
              </w:rPr>
              <w:t>聚乙烯(PE)管材的生产流程：</w:t>
            </w:r>
          </w:p>
          <w:p>
            <w:pPr>
              <w:spacing w:line="400" w:lineRule="exact"/>
              <w:rPr>
                <w:rFonts w:hint="eastAsia"/>
                <w:lang w:val="en-US" w:eastAsia="zh-CN"/>
              </w:rPr>
            </w:pPr>
            <w:r>
              <w:rPr>
                <w:rFonts w:hint="eastAsia"/>
                <w:lang w:val="en-US" w:eastAsia="zh-CN"/>
              </w:rPr>
              <w:t>混料→芯管挤出→真空定径及冷却→切割→封口→检验→入库</w:t>
            </w:r>
          </w:p>
          <w:p>
            <w:pPr>
              <w:pStyle w:val="2"/>
              <w:rPr>
                <w:rFonts w:ascii="宋体"/>
                <w:color w:val="000000"/>
                <w:szCs w:val="21"/>
              </w:rPr>
            </w:pPr>
            <w:r>
              <w:rPr>
                <w:rFonts w:hint="eastAsia"/>
              </w:rPr>
              <w:t>销售流程图：签到销售合同-采购物资-发货-交付验收-结算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煤矿用钢丝网骨架聚乙烯液体管材、聚乙烯(PE)管材的生产和销售;矿山机械、塑料制品销售</w:t>
            </w:r>
          </w:p>
        </w:tc>
        <w:tc>
          <w:tcPr>
            <w:tcW w:w="2006" w:type="dxa"/>
            <w:gridSpan w:val="3"/>
            <w:vAlign w:val="center"/>
          </w:tcPr>
          <w:p>
            <w:pPr>
              <w:spacing w:line="400" w:lineRule="exact"/>
              <w:rPr>
                <w:rFonts w:ascii="宋体" w:hAnsi="宋体"/>
                <w:b/>
                <w:color w:val="000000"/>
                <w:szCs w:val="21"/>
              </w:rPr>
            </w:pPr>
            <w:r>
              <w:t>14.02.01;29.12.00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煤矿用钢丝网骨架聚乙烯液体管材、聚乙烯(PE)管材的生产和销售;矿山机械、塑料制品销售所涉及场所的相关职业健康安全管理活动</w:t>
            </w:r>
          </w:p>
        </w:tc>
        <w:tc>
          <w:tcPr>
            <w:tcW w:w="2006" w:type="dxa"/>
            <w:gridSpan w:val="3"/>
            <w:vAlign w:val="center"/>
          </w:tcPr>
          <w:p>
            <w:pPr>
              <w:spacing w:line="400" w:lineRule="exact"/>
              <w:rPr>
                <w:rFonts w:ascii="宋体" w:hAnsi="宋体"/>
                <w:b/>
                <w:color w:val="000000"/>
                <w:szCs w:val="21"/>
              </w:rPr>
            </w:pPr>
            <w:r>
              <w:t>14.02.01;29.12.00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9"/>
        <w:gridCol w:w="680"/>
        <w:gridCol w:w="2990"/>
        <w:gridCol w:w="10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8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99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4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Times New Roman" w:hAnsi="Times New Roman" w:eastAsia="宋体" w:cs="Times New Roman"/>
              </w:rPr>
            </w:pPr>
            <w:r>
              <w:rPr>
                <w:rFonts w:ascii="Times New Roman" w:hAnsi="Times New Roman" w:eastAsia="宋体" w:cs="Times New Roman"/>
              </w:rPr>
              <w:t>陕西澄合经纬新材料有限公司</w:t>
            </w:r>
          </w:p>
          <w:p>
            <w:pPr>
              <w:spacing w:before="40" w:after="40"/>
              <w:rPr>
                <w:rFonts w:ascii="Times New Roman" w:hAnsi="Times New Roman" w:eastAsia="宋体" w:cs="Times New Roman"/>
              </w:rPr>
            </w:pPr>
            <w:r>
              <w:rPr>
                <w:rFonts w:ascii="Times New Roman" w:hAnsi="Times New Roman" w:eastAsia="宋体" w:cs="Times New Roman"/>
              </w:rPr>
              <w:t>陕西省渭南市合阳县王村镇王村矿</w:t>
            </w:r>
          </w:p>
          <w:p>
            <w:pPr>
              <w:spacing w:before="40" w:after="40"/>
              <w:rPr>
                <w:rFonts w:ascii="Times New Roman" w:hAnsi="Times New Roman" w:eastAsia="宋体" w:cs="Times New Roman"/>
                <w:lang w:val="de-DE" w:eastAsia="ja-JP"/>
              </w:rPr>
            </w:pPr>
          </w:p>
        </w:tc>
        <w:tc>
          <w:tcPr>
            <w:tcW w:w="1599" w:type="dxa"/>
          </w:tcPr>
          <w:p>
            <w:pPr>
              <w:spacing w:before="40" w:after="40"/>
              <w:rPr>
                <w:rFonts w:ascii="Times New Roman" w:hAnsi="Times New Roman" w:eastAsia="宋体" w:cs="Times New Roman"/>
                <w:lang w:val="de-DE" w:eastAsia="ja-JP"/>
              </w:rPr>
            </w:pPr>
            <w:r>
              <w:rPr>
                <w:rFonts w:ascii="Times New Roman" w:hAnsi="Times New Roman" w:eastAsia="宋体" w:cs="Times New Roman"/>
              </w:rPr>
              <w:t>陕西省渭南市合阳县王村镇王村矿</w:t>
            </w:r>
          </w:p>
        </w:tc>
        <w:tc>
          <w:tcPr>
            <w:tcW w:w="680" w:type="dxa"/>
            <w:vAlign w:val="center"/>
          </w:tcPr>
          <w:p>
            <w:pPr>
              <w:spacing w:before="40" w:after="4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2990" w:type="dxa"/>
            <w:vAlign w:val="center"/>
          </w:tcPr>
          <w:p>
            <w:pPr>
              <w:spacing w:before="40" w:after="40"/>
              <w:rPr>
                <w:rFonts w:hint="eastAsia" w:ascii="Times New Roman" w:hAnsi="Times New Roman" w:eastAsia="宋体" w:cs="Times New Roman"/>
              </w:rPr>
            </w:pPr>
            <w:r>
              <w:rPr>
                <w:rFonts w:hint="eastAsia" w:ascii="Times New Roman" w:hAnsi="Times New Roman" w:eastAsia="宋体" w:cs="Times New Roman"/>
              </w:rPr>
              <w:t>煤矿用钢丝网骨架聚乙烯液体管材、聚乙烯(PE)管材的生产和销售;矿山机械、塑料制品销售</w:t>
            </w:r>
          </w:p>
          <w:p>
            <w:pPr>
              <w:spacing w:before="40" w:after="40"/>
              <w:rPr>
                <w:rFonts w:hint="eastAsia" w:ascii="Times New Roman" w:hAnsi="Times New Roman" w:eastAsia="宋体" w:cs="Times New Roman"/>
                <w:lang w:val="en-US" w:eastAsia="ja-JP"/>
              </w:rPr>
            </w:pPr>
            <w:r>
              <w:rPr>
                <w:rFonts w:hint="eastAsia" w:ascii="Times New Roman" w:hAnsi="Times New Roman" w:eastAsia="宋体" w:cs="Times New Roman"/>
              </w:rPr>
              <w:t>煤矿用钢丝网骨架聚乙烯液体管材、聚乙烯(PE)管材的生产和销售;矿山机械、塑料制品销售所涉及场所的相关职业健康安全管理活动</w:t>
            </w:r>
          </w:p>
        </w:tc>
        <w:tc>
          <w:tcPr>
            <w:tcW w:w="1041" w:type="dxa"/>
            <w:vAlign w:val="center"/>
          </w:tcPr>
          <w:p>
            <w:pPr>
              <w:spacing w:before="40" w:after="40"/>
              <w:rPr>
                <w:rFonts w:hint="eastAsia" w:ascii="Times New Roman" w:hAnsi="Times New Roman" w:eastAsia="宋体" w:cs="Times New Roman"/>
              </w:rPr>
            </w:pPr>
            <w:r>
              <w:rPr>
                <w:rFonts w:hint="eastAsia" w:ascii="Times New Roman" w:hAnsi="Times New Roman" w:eastAsia="宋体" w:cs="Times New Roman"/>
              </w:rPr>
              <w:t>GB/T19001-2016</w:t>
            </w:r>
          </w:p>
          <w:p>
            <w:pPr>
              <w:spacing w:before="40" w:after="40"/>
              <w:rPr>
                <w:rFonts w:hint="eastAsia" w:ascii="Times New Roman" w:hAnsi="Times New Roman" w:eastAsia="宋体" w:cs="Times New Roman"/>
              </w:rPr>
            </w:pPr>
          </w:p>
          <w:p>
            <w:pPr>
              <w:spacing w:before="40" w:after="40"/>
              <w:rPr>
                <w:rFonts w:hint="eastAsia" w:ascii="Times New Roman" w:hAnsi="Times New Roman" w:eastAsia="宋体" w:cs="Times New Roman"/>
              </w:rPr>
            </w:pPr>
            <w:r>
              <w:rPr>
                <w:rFonts w:hint="eastAsia" w:ascii="Times New Roman" w:hAnsi="Times New Roman" w:eastAsia="宋体" w:cs="Times New Roman"/>
              </w:rPr>
              <w:t>GB/T 45001-2020</w:t>
            </w:r>
          </w:p>
          <w:p>
            <w:pPr>
              <w:spacing w:before="40" w:after="40"/>
              <w:rPr>
                <w:rFonts w:hint="eastAsia" w:ascii="Times New Roman" w:hAnsi="Times New Roman" w:eastAsia="宋体" w:cs="Times New Roman"/>
                <w:lang w:eastAsia="ja-JP"/>
              </w:rPr>
            </w:pPr>
          </w:p>
        </w:tc>
        <w:sdt>
          <w:sdtPr>
            <w:rPr>
              <w:rFonts w:ascii="Times New Roman" w:hAnsi="Times New Roman" w:eastAsia="宋体" w:cs="Times New Roman"/>
            </w:rPr>
            <w:id w:val="271604670"/>
          </w:sdtPr>
          <w:sdtEndPr>
            <w:rPr>
              <w:rFonts w:ascii="Times New Roman" w:hAnsi="Times New Roman" w:eastAsia="宋体" w:cs="Times New Roman"/>
            </w:rPr>
          </w:sdtEndPr>
          <w:sdtContent>
            <w:tc>
              <w:tcPr>
                <w:tcW w:w="668" w:type="dxa"/>
                <w:shd w:val="clear" w:color="auto" w:fill="FFFFFF"/>
              </w:tcPr>
              <w:p>
                <w:pPr>
                  <w:spacing w:before="40" w:after="40"/>
                  <w:rPr>
                    <w:rFonts w:ascii="Times New Roman" w:hAnsi="Times New Roman" w:eastAsia="宋体" w:cs="Times New Roman"/>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990" w:type="dxa"/>
            <w:vAlign w:val="center"/>
          </w:tcPr>
          <w:p>
            <w:pPr>
              <w:spacing w:before="40" w:after="40"/>
              <w:rPr>
                <w:rFonts w:eastAsia="黑体"/>
                <w:szCs w:val="21"/>
                <w:lang w:eastAsia="ja-JP"/>
              </w:rPr>
            </w:pPr>
          </w:p>
        </w:tc>
        <w:tc>
          <w:tcPr>
            <w:tcW w:w="10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990" w:type="dxa"/>
            <w:vAlign w:val="center"/>
          </w:tcPr>
          <w:p>
            <w:pPr>
              <w:spacing w:before="40" w:after="40"/>
              <w:rPr>
                <w:rFonts w:eastAsia="黑体"/>
                <w:szCs w:val="21"/>
                <w:lang w:eastAsia="ja-JP"/>
              </w:rPr>
            </w:pPr>
          </w:p>
        </w:tc>
        <w:tc>
          <w:tcPr>
            <w:tcW w:w="10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年7月7日-8日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2022-09-24</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4885055</wp:posOffset>
            </wp:positionH>
            <wp:positionV relativeFrom="paragraph">
              <wp:posOffset>339090</wp:posOffset>
            </wp:positionV>
            <wp:extent cx="426085" cy="353695"/>
            <wp:effectExtent l="0" t="0" r="0" b="1905"/>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6"/>
                    <a:stretch>
                      <a:fillRect/>
                    </a:stretch>
                  </pic:blipFill>
                  <pic:spPr>
                    <a:xfrm>
                      <a:off x="0" y="0"/>
                      <a:ext cx="426085" cy="35369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1836420</wp:posOffset>
            </wp:positionH>
            <wp:positionV relativeFrom="paragraph">
              <wp:posOffset>13970</wp:posOffset>
            </wp:positionV>
            <wp:extent cx="318135" cy="244475"/>
            <wp:effectExtent l="0" t="0" r="1206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318135" cy="24447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2022年09月24日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731520</wp:posOffset>
                  </wp:positionH>
                  <wp:positionV relativeFrom="paragraph">
                    <wp:posOffset>39370</wp:posOffset>
                  </wp:positionV>
                  <wp:extent cx="330200" cy="254000"/>
                  <wp:effectExtent l="0" t="0" r="0" b="0"/>
                  <wp:wrapNone/>
                  <wp:docPr id="2" name="图片 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7475f2d71659eed95b546a81c2d41"/>
                          <pic:cNvPicPr>
                            <a:picLocks noChangeAspect="1"/>
                          </pic:cNvPicPr>
                        </pic:nvPicPr>
                        <pic:blipFill>
                          <a:blip r:embed="rId7"/>
                          <a:stretch>
                            <a:fillRect/>
                          </a:stretch>
                        </pic:blipFill>
                        <pic:spPr>
                          <a:xfrm>
                            <a:off x="0" y="0"/>
                            <a:ext cx="330200" cy="254000"/>
                          </a:xfrm>
                          <a:prstGeom prst="rect">
                            <a:avLst/>
                          </a:prstGeom>
                        </pic:spPr>
                      </pic:pic>
                    </a:graphicData>
                  </a:graphic>
                </wp:anchor>
              </w:drawing>
            </w:r>
            <w:r>
              <w:rPr>
                <w:rFonts w:hint="eastAsia"/>
                <w:b/>
                <w:color w:val="000000"/>
                <w:szCs w:val="21"/>
              </w:rPr>
              <w:t>审核组长：</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2022年09月24日</w:t>
            </w:r>
          </w:p>
          <w:p>
            <w:pPr>
              <w:spacing w:line="280" w:lineRule="exact"/>
              <w:rPr>
                <w:b/>
                <w:color w:val="000000"/>
                <w:szCs w:val="21"/>
              </w:rPr>
            </w:pP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vertAlign w:val="baseline"/>
                <w:lang w:val="en-US" w:eastAsia="zh-CN"/>
              </w:rPr>
              <w:drawing>
                <wp:anchor distT="0" distB="0" distL="114300" distR="114300" simplePos="0" relativeHeight="251665408" behindDoc="0" locked="0" layoutInCell="1" allowOverlap="1">
                  <wp:simplePos x="0" y="0"/>
                  <wp:positionH relativeFrom="column">
                    <wp:posOffset>572770</wp:posOffset>
                  </wp:positionH>
                  <wp:positionV relativeFrom="paragraph">
                    <wp:posOffset>71120</wp:posOffset>
                  </wp:positionV>
                  <wp:extent cx="330200" cy="254000"/>
                  <wp:effectExtent l="0" t="0" r="0" b="0"/>
                  <wp:wrapNone/>
                  <wp:docPr id="3" name="图片 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7475f2d71659eed95b546a81c2d41"/>
                          <pic:cNvPicPr>
                            <a:picLocks noChangeAspect="1"/>
                          </pic:cNvPicPr>
                        </pic:nvPicPr>
                        <pic:blipFill>
                          <a:blip r:embed="rId7"/>
                          <a:stretch>
                            <a:fillRect/>
                          </a:stretch>
                        </pic:blipFill>
                        <pic:spPr>
                          <a:xfrm>
                            <a:off x="0" y="0"/>
                            <a:ext cx="330200" cy="25400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24</w:t>
            </w:r>
            <w:bookmarkStart w:id="37" w:name="_GoBack"/>
            <w:bookmarkEnd w:id="37"/>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01045E2C"/>
    <w:rsid w:val="4C2D30F9"/>
    <w:rsid w:val="6D007AB6"/>
    <w:rsid w:val="79D06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2022-09-26T14:18:30Z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