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1311"/>
        <w:gridCol w:w="11385"/>
        <w:gridCol w:w="7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5" w:hRule="atLeast"/>
        </w:trPr>
        <w:tc>
          <w:tcPr>
            <w:tcW w:w="1260" w:type="dxa"/>
            <w:vMerge w:val="restart"/>
            <w:vAlign w:val="center"/>
          </w:tcPr>
          <w:p>
            <w:pPr>
              <w:spacing w:before="120" w:line="360" w:lineRule="auto"/>
              <w:jc w:val="center"/>
              <w:rPr>
                <w:rFonts w:hint="eastAsia" w:ascii="宋体" w:hAnsi="宋体" w:eastAsia="宋体" w:cs="宋体"/>
                <w:sz w:val="24"/>
                <w:szCs w:val="24"/>
              </w:rPr>
            </w:pPr>
            <w:r>
              <w:rPr>
                <w:rFonts w:hint="eastAsia" w:ascii="宋体" w:hAnsi="宋体" w:eastAsia="宋体" w:cs="宋体"/>
                <w:sz w:val="24"/>
                <w:szCs w:val="24"/>
              </w:rPr>
              <w:t>过程与活动、</w:t>
            </w:r>
          </w:p>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抽样计划</w:t>
            </w:r>
          </w:p>
        </w:tc>
        <w:tc>
          <w:tcPr>
            <w:tcW w:w="1311" w:type="dxa"/>
            <w:vMerge w:val="restart"/>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涉及</w:t>
            </w:r>
          </w:p>
          <w:p>
            <w:pPr>
              <w:spacing w:line="360" w:lineRule="auto"/>
              <w:rPr>
                <w:rFonts w:hint="eastAsia" w:ascii="宋体" w:hAnsi="宋体" w:eastAsia="宋体" w:cs="宋体"/>
                <w:sz w:val="24"/>
                <w:szCs w:val="24"/>
              </w:rPr>
            </w:pPr>
            <w:r>
              <w:rPr>
                <w:rFonts w:hint="eastAsia" w:ascii="宋体" w:hAnsi="宋体" w:eastAsia="宋体" w:cs="宋体"/>
                <w:sz w:val="24"/>
                <w:szCs w:val="24"/>
              </w:rPr>
              <w:t>条款</w:t>
            </w:r>
          </w:p>
        </w:tc>
        <w:tc>
          <w:tcPr>
            <w:tcW w:w="11385" w:type="dxa"/>
            <w:vAlign w:val="center"/>
          </w:tcPr>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t>受审核部门：</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管理层</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总经理</w:t>
            </w:r>
            <w:r>
              <w:rPr>
                <w:rFonts w:hint="eastAsia" w:ascii="宋体" w:hAnsi="宋体" w:eastAsia="宋体" w:cs="宋体"/>
                <w:sz w:val="24"/>
                <w:szCs w:val="24"/>
                <w:lang w:eastAsia="zh-CN"/>
              </w:rPr>
              <w:t>：</w:t>
            </w:r>
            <w:r>
              <w:rPr>
                <w:rFonts w:hint="eastAsia" w:ascii="宋体" w:hAnsi="宋体" w:eastAsia="宋体" w:cs="宋体"/>
                <w:sz w:val="24"/>
                <w:szCs w:val="24"/>
              </w:rPr>
              <w:t>王长江、</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管理者代表</w:t>
            </w:r>
            <w:r>
              <w:rPr>
                <w:rFonts w:hint="eastAsia" w:ascii="宋体" w:hAnsi="宋体" w:eastAsia="宋体" w:cs="宋体"/>
                <w:sz w:val="24"/>
                <w:szCs w:val="24"/>
                <w:lang w:eastAsia="zh-CN"/>
              </w:rPr>
              <w:t>：</w:t>
            </w:r>
            <w:r>
              <w:rPr>
                <w:rFonts w:hint="eastAsia" w:ascii="宋体" w:hAnsi="宋体" w:eastAsia="宋体" w:cs="宋体"/>
                <w:kern w:val="0"/>
                <w:sz w:val="24"/>
                <w:szCs w:val="24"/>
                <w:lang w:eastAsia="zh-CN"/>
              </w:rPr>
              <w:t xml:space="preserve">魏良辰 </w:t>
            </w:r>
            <w:r>
              <w:rPr>
                <w:rFonts w:hint="eastAsia" w:ascii="宋体" w:hAnsi="宋体" w:eastAsia="宋体" w:cs="宋体"/>
                <w:sz w:val="24"/>
                <w:szCs w:val="24"/>
              </w:rPr>
              <w:t xml:space="preserve">      陪同人员：</w:t>
            </w:r>
            <w:r>
              <w:rPr>
                <w:rFonts w:hint="eastAsia" w:ascii="宋体" w:hAnsi="宋体" w:eastAsia="宋体" w:cs="宋体"/>
                <w:sz w:val="24"/>
                <w:szCs w:val="24"/>
                <w:lang w:val="en-US" w:eastAsia="zh-CN"/>
              </w:rPr>
              <w:t>魏小伟</w:t>
            </w:r>
          </w:p>
        </w:tc>
        <w:tc>
          <w:tcPr>
            <w:tcW w:w="753" w:type="dxa"/>
            <w:vMerge w:val="restart"/>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260" w:type="dxa"/>
            <w:vMerge w:val="continue"/>
            <w:vAlign w:val="center"/>
          </w:tcPr>
          <w:p>
            <w:pPr>
              <w:spacing w:line="360" w:lineRule="auto"/>
              <w:rPr>
                <w:rFonts w:hint="eastAsia" w:ascii="宋体" w:hAnsi="宋体" w:eastAsia="宋体" w:cs="宋体"/>
                <w:sz w:val="24"/>
                <w:szCs w:val="24"/>
              </w:rPr>
            </w:pPr>
          </w:p>
        </w:tc>
        <w:tc>
          <w:tcPr>
            <w:tcW w:w="1311" w:type="dxa"/>
            <w:vMerge w:val="continue"/>
            <w:vAlign w:val="center"/>
          </w:tcPr>
          <w:p>
            <w:pPr>
              <w:spacing w:line="360" w:lineRule="auto"/>
              <w:rPr>
                <w:rFonts w:hint="eastAsia" w:ascii="宋体" w:hAnsi="宋体" w:eastAsia="宋体" w:cs="宋体"/>
                <w:sz w:val="24"/>
                <w:szCs w:val="24"/>
              </w:rPr>
            </w:pPr>
          </w:p>
        </w:tc>
        <w:tc>
          <w:tcPr>
            <w:tcW w:w="11385" w:type="dxa"/>
            <w:vAlign w:val="center"/>
          </w:tcPr>
          <w:p>
            <w:pPr>
              <w:spacing w:before="120" w:line="360" w:lineRule="auto"/>
              <w:rPr>
                <w:rFonts w:hint="eastAsia" w:ascii="宋体" w:hAnsi="宋体" w:eastAsia="宋体" w:cs="宋体"/>
                <w:sz w:val="24"/>
                <w:szCs w:val="24"/>
              </w:rPr>
            </w:pPr>
            <w:r>
              <w:rPr>
                <w:rFonts w:hint="eastAsia" w:ascii="宋体" w:hAnsi="宋体" w:eastAsia="宋体" w:cs="宋体"/>
                <w:sz w:val="24"/>
                <w:szCs w:val="24"/>
              </w:rPr>
              <w:t>审核员：</w:t>
            </w:r>
            <w:r>
              <w:rPr>
                <w:rFonts w:hint="eastAsia" w:ascii="宋体" w:hAnsi="宋体" w:eastAsia="宋体" w:cs="宋体"/>
                <w:sz w:val="24"/>
                <w:szCs w:val="24"/>
                <w:lang w:val="en-US" w:eastAsia="zh-CN"/>
              </w:rPr>
              <w:t>李俐</w:t>
            </w:r>
            <w:r>
              <w:rPr>
                <w:rFonts w:hint="eastAsia" w:ascii="宋体" w:hAnsi="宋体" w:eastAsia="宋体" w:cs="宋体"/>
                <w:sz w:val="24"/>
                <w:szCs w:val="24"/>
              </w:rPr>
              <w:t>；     审核时间：</w:t>
            </w:r>
            <w:r>
              <w:rPr>
                <w:rFonts w:hint="eastAsia" w:ascii="宋体" w:hAnsi="宋体" w:eastAsia="宋体" w:cs="宋体"/>
                <w:sz w:val="24"/>
                <w:szCs w:val="24"/>
                <w:lang w:eastAsia="zh-CN"/>
              </w:rPr>
              <w:t>202</w:t>
            </w:r>
            <w:r>
              <w:rPr>
                <w:rFonts w:hint="eastAsia" w:ascii="宋体" w:hAnsi="宋体" w:eastAsia="宋体" w:cs="宋体"/>
                <w:sz w:val="24"/>
                <w:szCs w:val="24"/>
                <w:lang w:val="en-US" w:eastAsia="zh-CN"/>
              </w:rPr>
              <w:t>2</w:t>
            </w:r>
            <w:r>
              <w:rPr>
                <w:rFonts w:hint="eastAsia" w:ascii="宋体" w:hAnsi="宋体" w:eastAsia="宋体" w:cs="宋体"/>
                <w:sz w:val="24"/>
                <w:szCs w:val="24"/>
              </w:rPr>
              <w:t>年</w:t>
            </w:r>
            <w:r>
              <w:rPr>
                <w:rFonts w:hint="eastAsia" w:ascii="宋体" w:hAnsi="宋体" w:eastAsia="宋体" w:cs="宋体"/>
                <w:sz w:val="24"/>
                <w:szCs w:val="24"/>
                <w:lang w:val="en-US" w:eastAsia="zh-CN"/>
              </w:rPr>
              <w:t>9</w:t>
            </w:r>
            <w:r>
              <w:rPr>
                <w:rFonts w:hint="eastAsia" w:ascii="宋体" w:hAnsi="宋体" w:eastAsia="宋体" w:cs="宋体"/>
                <w:sz w:val="24"/>
                <w:szCs w:val="24"/>
              </w:rPr>
              <w:t>月</w:t>
            </w:r>
            <w:r>
              <w:rPr>
                <w:rFonts w:hint="eastAsia" w:ascii="宋体" w:hAnsi="宋体" w:eastAsia="宋体" w:cs="宋体"/>
                <w:sz w:val="24"/>
                <w:szCs w:val="24"/>
                <w:lang w:val="en-US" w:eastAsia="zh-CN"/>
              </w:rPr>
              <w:t>22</w:t>
            </w:r>
            <w:r>
              <w:rPr>
                <w:rFonts w:hint="eastAsia" w:ascii="宋体" w:hAnsi="宋体" w:eastAsia="宋体" w:cs="宋体"/>
                <w:sz w:val="24"/>
                <w:szCs w:val="24"/>
              </w:rPr>
              <w:t>日</w:t>
            </w:r>
          </w:p>
        </w:tc>
        <w:tc>
          <w:tcPr>
            <w:tcW w:w="753" w:type="dxa"/>
            <w:vMerge w:val="continue"/>
          </w:tcPr>
          <w:p>
            <w:pPr>
              <w:spacing w:line="360" w:lineRule="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260" w:type="dxa"/>
            <w:vMerge w:val="continue"/>
            <w:vAlign w:val="center"/>
          </w:tcPr>
          <w:p>
            <w:pPr>
              <w:spacing w:line="360" w:lineRule="auto"/>
              <w:rPr>
                <w:rFonts w:hint="eastAsia" w:ascii="宋体" w:hAnsi="宋体" w:eastAsia="宋体" w:cs="宋体"/>
                <w:sz w:val="24"/>
                <w:szCs w:val="24"/>
              </w:rPr>
            </w:pPr>
          </w:p>
        </w:tc>
        <w:tc>
          <w:tcPr>
            <w:tcW w:w="1311" w:type="dxa"/>
            <w:vMerge w:val="continue"/>
            <w:vAlign w:val="center"/>
          </w:tcPr>
          <w:p>
            <w:pPr>
              <w:spacing w:line="360" w:lineRule="auto"/>
              <w:rPr>
                <w:rFonts w:hint="eastAsia" w:ascii="宋体" w:hAnsi="宋体" w:eastAsia="宋体" w:cs="宋体"/>
                <w:sz w:val="24"/>
                <w:szCs w:val="24"/>
              </w:rPr>
            </w:pPr>
          </w:p>
        </w:tc>
        <w:tc>
          <w:tcPr>
            <w:tcW w:w="11385" w:type="dxa"/>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审核条款： </w:t>
            </w:r>
          </w:p>
          <w:p>
            <w:pPr>
              <w:spacing w:line="360" w:lineRule="auto"/>
              <w:rPr>
                <w:rFonts w:hint="eastAsia" w:ascii="宋体" w:hAnsi="宋体" w:eastAsia="宋体" w:cs="宋体"/>
                <w:sz w:val="24"/>
                <w:szCs w:val="24"/>
              </w:rPr>
            </w:pPr>
            <w:r>
              <w:rPr>
                <w:rFonts w:hint="eastAsia" w:ascii="宋体" w:hAnsi="宋体" w:eastAsia="宋体" w:cs="宋体"/>
                <w:sz w:val="24"/>
                <w:szCs w:val="24"/>
              </w:rPr>
              <w:t>E:4.1/4.2/4.3/4.4/5.1/5.2/5.3/6.1.1/6.1.4/6.2/7.1/9.3/10.1/10.3</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t>资质验证/范围再确认/</w:t>
            </w:r>
            <w:r>
              <w:rPr>
                <w:rFonts w:hint="eastAsia" w:ascii="宋体" w:hAnsi="宋体" w:eastAsia="宋体" w:cs="宋体"/>
                <w:sz w:val="24"/>
                <w:szCs w:val="24"/>
                <w:lang w:val="en-US" w:eastAsia="zh-CN"/>
              </w:rPr>
              <w:t>一阶段审核</w:t>
            </w:r>
            <w:r>
              <w:rPr>
                <w:rFonts w:hint="eastAsia" w:ascii="宋体" w:hAnsi="宋体" w:eastAsia="宋体" w:cs="宋体"/>
                <w:sz w:val="24"/>
                <w:szCs w:val="24"/>
              </w:rPr>
              <w:t>问题验证/投诉或事故/政府主管部门监督抽查情况</w:t>
            </w:r>
          </w:p>
        </w:tc>
        <w:tc>
          <w:tcPr>
            <w:tcW w:w="753" w:type="dxa"/>
            <w:vMerge w:val="continue"/>
          </w:tcPr>
          <w:p>
            <w:pPr>
              <w:spacing w:line="360" w:lineRule="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1260" w:type="dxa"/>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资质</w:t>
            </w: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确定量管理体系的范围</w:t>
            </w:r>
          </w:p>
          <w:p>
            <w:pPr>
              <w:pStyle w:val="2"/>
              <w:spacing w:line="360" w:lineRule="auto"/>
              <w:rPr>
                <w:rFonts w:hint="eastAsia" w:ascii="宋体" w:hAnsi="宋体" w:eastAsia="宋体" w:cs="宋体"/>
                <w:sz w:val="24"/>
                <w:szCs w:val="24"/>
              </w:rPr>
            </w:pPr>
            <w:r>
              <w:rPr>
                <w:rFonts w:hint="eastAsia" w:ascii="宋体" w:hAnsi="宋体" w:eastAsia="宋体" w:cs="宋体"/>
                <w:color w:val="auto"/>
                <w:sz w:val="24"/>
                <w:szCs w:val="24"/>
              </w:rPr>
              <w:t>总要求</w:t>
            </w:r>
          </w:p>
          <w:p>
            <w:pPr>
              <w:pStyle w:val="2"/>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tc>
        <w:tc>
          <w:tcPr>
            <w:tcW w:w="1311" w:type="dxa"/>
            <w:vAlign w:val="center"/>
          </w:tcPr>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E4.3</w:t>
            </w:r>
          </w:p>
          <w:p>
            <w:pPr>
              <w:spacing w:line="360" w:lineRule="auto"/>
              <w:rPr>
                <w:rFonts w:hint="eastAsia" w:ascii="宋体" w:hAnsi="宋体" w:eastAsia="宋体" w:cs="宋体"/>
                <w:sz w:val="24"/>
                <w:szCs w:val="24"/>
              </w:rPr>
            </w:pPr>
          </w:p>
        </w:tc>
        <w:tc>
          <w:tcPr>
            <w:tcW w:w="11385" w:type="dxa"/>
            <w:vAlign w:val="center"/>
          </w:tcPr>
          <w:p>
            <w:pPr>
              <w:spacing w:line="360" w:lineRule="auto"/>
              <w:rPr>
                <w:rFonts w:hint="eastAsia" w:ascii="宋体" w:hAnsi="宋体" w:eastAsia="宋体" w:cs="宋体"/>
                <w:sz w:val="24"/>
                <w:szCs w:val="24"/>
              </w:rPr>
            </w:pPr>
            <w:bookmarkStart w:id="0" w:name="组织名称"/>
            <w:r>
              <w:rPr>
                <w:rFonts w:hint="eastAsia" w:ascii="宋体" w:hAnsi="宋体" w:eastAsia="宋体" w:cs="宋体"/>
                <w:sz w:val="24"/>
                <w:szCs w:val="24"/>
              </w:rPr>
              <w:t>陕西澄合经纬新材料有限公司</w:t>
            </w:r>
            <w:bookmarkEnd w:id="0"/>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t>注册地址：</w:t>
            </w:r>
            <w:bookmarkStart w:id="1" w:name="注册地址"/>
            <w:r>
              <w:rPr>
                <w:rFonts w:hint="eastAsia" w:ascii="宋体" w:hAnsi="宋体" w:eastAsia="宋体" w:cs="宋体"/>
                <w:sz w:val="24"/>
                <w:szCs w:val="24"/>
              </w:rPr>
              <w:t>陕西省渭南市合阳县王村镇王村矿</w:t>
            </w:r>
            <w:bookmarkEnd w:id="1"/>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t>审核地址：</w:t>
            </w:r>
            <w:bookmarkStart w:id="2" w:name="生产地址"/>
            <w:r>
              <w:rPr>
                <w:rFonts w:hint="eastAsia" w:ascii="宋体" w:hAnsi="宋体" w:eastAsia="宋体" w:cs="宋体"/>
                <w:sz w:val="24"/>
                <w:szCs w:val="24"/>
              </w:rPr>
              <w:t>西安市雁塔区延兴门西路755号 国家大学科技园科创孵化基地2号楼 A座705室</w:t>
            </w:r>
            <w:bookmarkEnd w:id="2"/>
          </w:p>
          <w:p>
            <w:pPr>
              <w:spacing w:line="360" w:lineRule="auto"/>
              <w:rPr>
                <w:rFonts w:hint="eastAsia" w:ascii="宋体" w:hAnsi="宋体" w:eastAsia="宋体" w:cs="宋体"/>
                <w:sz w:val="24"/>
                <w:szCs w:val="24"/>
              </w:rPr>
            </w:pPr>
            <w:r>
              <w:rPr>
                <w:rFonts w:hint="eastAsia" w:ascii="宋体" w:hAnsi="宋体" w:eastAsia="宋体" w:cs="宋体"/>
                <w:sz w:val="24"/>
                <w:szCs w:val="24"/>
              </w:rPr>
              <w:t>查营业执照，统一社会信用代码：</w:t>
            </w:r>
            <w:r>
              <w:rPr>
                <w:rFonts w:hint="eastAsia" w:ascii="宋体" w:hAnsi="宋体" w:eastAsia="宋体" w:cs="宋体"/>
                <w:sz w:val="24"/>
                <w:szCs w:val="24"/>
                <w:lang w:val="en-US" w:eastAsia="zh-CN"/>
              </w:rPr>
              <w:t>91610524MA6YBPKE9R</w:t>
            </w:r>
          </w:p>
          <w:p>
            <w:pPr>
              <w:spacing w:line="360" w:lineRule="auto"/>
              <w:rPr>
                <w:rFonts w:hint="eastAsia" w:ascii="宋体" w:hAnsi="宋体" w:eastAsia="宋体" w:cs="宋体"/>
                <w:sz w:val="24"/>
                <w:szCs w:val="24"/>
              </w:rPr>
            </w:pPr>
            <w:r>
              <w:rPr>
                <w:rFonts w:hint="eastAsia" w:ascii="宋体" w:hAnsi="宋体" w:eastAsia="宋体" w:cs="宋体"/>
                <w:sz w:val="24"/>
                <w:szCs w:val="24"/>
              </w:rPr>
              <w:t>成立日期：20</w:t>
            </w:r>
            <w:r>
              <w:rPr>
                <w:rFonts w:hint="eastAsia" w:ascii="宋体" w:hAnsi="宋体" w:eastAsia="宋体" w:cs="宋体"/>
                <w:sz w:val="24"/>
                <w:szCs w:val="24"/>
                <w:lang w:val="en-US" w:eastAsia="zh-CN"/>
              </w:rPr>
              <w:t>21</w:t>
            </w:r>
            <w:r>
              <w:rPr>
                <w:rFonts w:hint="eastAsia" w:ascii="宋体" w:hAnsi="宋体" w:eastAsia="宋体" w:cs="宋体"/>
                <w:sz w:val="24"/>
                <w:szCs w:val="24"/>
              </w:rPr>
              <w:t>-0</w:t>
            </w:r>
            <w:r>
              <w:rPr>
                <w:rFonts w:hint="eastAsia" w:ascii="宋体" w:hAnsi="宋体" w:eastAsia="宋体" w:cs="宋体"/>
                <w:sz w:val="24"/>
                <w:szCs w:val="24"/>
                <w:lang w:val="en-US" w:eastAsia="zh-CN"/>
              </w:rPr>
              <w:t>3</w:t>
            </w:r>
            <w:r>
              <w:rPr>
                <w:rFonts w:hint="eastAsia" w:ascii="宋体" w:hAnsi="宋体" w:eastAsia="宋体" w:cs="宋体"/>
                <w:sz w:val="24"/>
                <w:szCs w:val="24"/>
              </w:rPr>
              <w:t>-1</w:t>
            </w:r>
            <w:r>
              <w:rPr>
                <w:rFonts w:hint="eastAsia" w:ascii="宋体" w:hAnsi="宋体" w:eastAsia="宋体" w:cs="宋体"/>
                <w:sz w:val="24"/>
                <w:szCs w:val="24"/>
                <w:lang w:val="en-US" w:eastAsia="zh-CN"/>
              </w:rPr>
              <w:t>0</w:t>
            </w:r>
            <w:r>
              <w:rPr>
                <w:rFonts w:hint="eastAsia" w:ascii="宋体" w:hAnsi="宋体" w:eastAsia="宋体" w:cs="宋体"/>
                <w:sz w:val="24"/>
                <w:szCs w:val="24"/>
              </w:rPr>
              <w:t xml:space="preserve">至 </w:t>
            </w:r>
            <w:r>
              <w:rPr>
                <w:rFonts w:hint="eastAsia" w:ascii="宋体" w:hAnsi="宋体" w:eastAsia="宋体" w:cs="宋体"/>
                <w:sz w:val="24"/>
                <w:szCs w:val="24"/>
                <w:lang w:val="en-US" w:eastAsia="zh-CN"/>
              </w:rPr>
              <w:t>长</w:t>
            </w:r>
            <w:r>
              <w:rPr>
                <w:rFonts w:hint="eastAsia" w:ascii="宋体" w:hAnsi="宋体" w:eastAsia="宋体" w:cs="宋体"/>
                <w:sz w:val="24"/>
                <w:szCs w:val="24"/>
              </w:rPr>
              <w:t>限</w:t>
            </w:r>
          </w:p>
          <w:p>
            <w:pPr>
              <w:spacing w:line="360" w:lineRule="auto"/>
              <w:rPr>
                <w:rFonts w:hint="eastAsia" w:ascii="宋体" w:hAnsi="宋体" w:eastAsia="宋体" w:cs="宋体"/>
                <w:sz w:val="24"/>
                <w:szCs w:val="24"/>
              </w:rPr>
            </w:pPr>
            <w:r>
              <w:rPr>
                <w:rFonts w:hint="eastAsia" w:ascii="宋体" w:hAnsi="宋体" w:eastAsia="宋体" w:cs="宋体"/>
                <w:sz w:val="24"/>
                <w:szCs w:val="24"/>
              </w:rPr>
              <w:t>法人代表：</w:t>
            </w:r>
            <w:r>
              <w:rPr>
                <w:rFonts w:hint="eastAsia" w:ascii="宋体" w:hAnsi="宋体" w:eastAsia="宋体" w:cs="宋体"/>
                <w:sz w:val="24"/>
                <w:szCs w:val="24"/>
                <w:lang w:val="en-US" w:eastAsia="zh-CN"/>
              </w:rPr>
              <w:t>吉茂虎</w:t>
            </w:r>
            <w:r>
              <w:rPr>
                <w:rFonts w:hint="eastAsia" w:ascii="宋体" w:hAnsi="宋体" w:eastAsia="宋体" w:cs="宋体"/>
                <w:sz w:val="24"/>
                <w:szCs w:val="24"/>
              </w:rPr>
              <w:t> ，注册资本：</w:t>
            </w:r>
            <w:r>
              <w:rPr>
                <w:rFonts w:hint="eastAsia" w:ascii="宋体" w:hAnsi="宋体" w:eastAsia="宋体" w:cs="宋体"/>
                <w:sz w:val="24"/>
                <w:szCs w:val="24"/>
                <w:lang w:val="en-US" w:eastAsia="zh-CN"/>
              </w:rPr>
              <w:t>20</w:t>
            </w:r>
            <w:r>
              <w:rPr>
                <w:rFonts w:hint="eastAsia" w:ascii="宋体" w:hAnsi="宋体" w:eastAsia="宋体" w:cs="宋体"/>
                <w:sz w:val="24"/>
                <w:szCs w:val="24"/>
              </w:rPr>
              <w:t>00万元人民币</w:t>
            </w:r>
          </w:p>
          <w:p>
            <w:pPr>
              <w:spacing w:line="360" w:lineRule="auto"/>
              <w:jc w:val="left"/>
              <w:rPr>
                <w:rFonts w:hint="eastAsia" w:ascii="宋体" w:hAnsi="宋体" w:eastAsia="宋体" w:cs="宋体"/>
                <w:color w:val="000000"/>
                <w:sz w:val="24"/>
                <w:szCs w:val="24"/>
              </w:rPr>
            </w:pPr>
            <w:r>
              <w:rPr>
                <w:rFonts w:hint="eastAsia" w:ascii="宋体" w:hAnsi="宋体" w:eastAsia="宋体" w:cs="宋体"/>
                <w:sz w:val="24"/>
                <w:szCs w:val="24"/>
              </w:rPr>
              <w:t>营业执照范围：</w:t>
            </w:r>
            <w:r>
              <w:rPr>
                <w:rFonts w:hint="eastAsia" w:ascii="宋体" w:hAnsi="宋体" w:eastAsia="宋体" w:cs="宋体"/>
                <w:color w:val="000000"/>
                <w:sz w:val="24"/>
                <w:szCs w:val="24"/>
              </w:rPr>
              <w:t>一般项目:合成材料制造（不含危险化学品);合成材料销售;橡胶制品制造;橡胶制品销售;塑料制品制造;塑料制品销售;工程塑料及合成树脂销售;新型建筑材料制造（不含危险化学品)﹔建筑材料销售;高性能纤维及复合材料制造;高性能纤维及复合材料销售;耐火材料生产;耐火材料销售;五金产品制造;五金产品批发;金属制品销售;建筑用金属配件制造;建筑用金属配件销售;金属材料制造;金属材料销售;仪器仪表销售;非金属矿物制品制造;非金属矿及制品销售;矿山机械制造;矿山机械销售;专用设备制造(不含许可类专业设备制造);通用零部件制造;机械设备销售;电气设备销售;机械电气设备制造;液压动力机械及元件制造;液压动力机械及元件销售;销售代理;技术服务、技术开发、技术咨询、技术交流、技术转让、技术推广;电线、电缆经营;劳动保护用品销售;电子产品销售﹔阀门和旋塞销售;隔热和隔音材料制造;隔热和隔音材料销售;金属丝绳及其制品制造;金属丝绳及其制品销售;信息技术咨询服务﹔租赁服务（不含许可类租赁服务);机械设备租赁;运输设备租赁服务﹔住房租赁;土地使用权租赁(除依法须经批准的项目外，凭营业执照依法自主开展经营活动)；</w:t>
            </w:r>
          </w:p>
          <w:p>
            <w:pPr>
              <w:spacing w:line="360" w:lineRule="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2022.5.20获</w:t>
            </w: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矿用产品安全标志证书</w:t>
            </w:r>
            <w:r>
              <w:rPr>
                <w:rFonts w:hint="eastAsia" w:ascii="宋体" w:hAnsi="宋体" w:eastAsia="宋体" w:cs="宋体"/>
                <w:color w:val="000000"/>
                <w:sz w:val="24"/>
                <w:szCs w:val="24"/>
              </w:rPr>
              <w:t>》</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编号</w:t>
            </w:r>
            <w:r>
              <w:rPr>
                <w:rFonts w:hint="eastAsia" w:ascii="宋体" w:hAnsi="宋体" w:eastAsia="宋体" w:cs="宋体"/>
                <w:color w:val="000000"/>
                <w:sz w:val="24"/>
                <w:szCs w:val="24"/>
                <w:u w:val="none"/>
                <w:lang w:val="en-US" w:eastAsia="zh-CN"/>
              </w:rPr>
              <w:t>分别为：MIE220171、MIE220172、MIE220173、MIE220174</w:t>
            </w:r>
            <w:r>
              <w:rPr>
                <w:rFonts w:hint="eastAsia" w:ascii="宋体" w:hAnsi="宋体" w:eastAsia="宋体" w:cs="宋体"/>
                <w:color w:val="000000"/>
                <w:sz w:val="24"/>
                <w:szCs w:val="24"/>
                <w:u w:val="none"/>
              </w:rPr>
              <w:t xml:space="preserve"> </w:t>
            </w:r>
            <w:r>
              <w:rPr>
                <w:rFonts w:hint="eastAsia" w:ascii="宋体" w:hAnsi="宋体" w:eastAsia="宋体" w:cs="宋体"/>
                <w:color w:val="000000"/>
                <w:sz w:val="24"/>
                <w:szCs w:val="24"/>
              </w:rPr>
              <w:t>； 有效期：</w:t>
            </w:r>
            <w:r>
              <w:rPr>
                <w:rFonts w:hint="eastAsia" w:ascii="宋体" w:hAnsi="宋体" w:eastAsia="宋体" w:cs="宋体"/>
                <w:color w:val="000000"/>
                <w:sz w:val="24"/>
                <w:szCs w:val="24"/>
                <w:lang w:val="en-US" w:eastAsia="zh-CN"/>
              </w:rPr>
              <w:t>2027.5.17</w:t>
            </w:r>
            <w:r>
              <w:rPr>
                <w:rFonts w:hint="eastAsia" w:ascii="宋体" w:hAnsi="宋体" w:eastAsia="宋体" w:cs="宋体"/>
                <w:color w:val="000000"/>
                <w:sz w:val="24"/>
                <w:szCs w:val="24"/>
              </w:rPr>
              <w:t>；</w:t>
            </w:r>
          </w:p>
          <w:p>
            <w:pPr>
              <w:spacing w:line="360" w:lineRule="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认证范围为：煤矿用钢丝网骨架聚乙烯液体管材、聚乙烯(PE)管材、矿山机械、塑料制品销售所涉及场所的相关环境管理活动；</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t>查国家企业信用信息公示系统，企业无异常经营记录、无违法失信记录。</w:t>
            </w:r>
          </w:p>
        </w:tc>
        <w:tc>
          <w:tcPr>
            <w:tcW w:w="753" w:type="dxa"/>
          </w:tcPr>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1260" w:type="dxa"/>
          </w:tcPr>
          <w:p>
            <w:pPr>
              <w:spacing w:line="360" w:lineRule="auto"/>
              <w:rPr>
                <w:rFonts w:hint="eastAsia" w:ascii="宋体" w:hAnsi="宋体" w:eastAsia="宋体" w:cs="宋体"/>
                <w:sz w:val="24"/>
                <w:szCs w:val="24"/>
              </w:rPr>
            </w:pPr>
            <w:r>
              <w:rPr>
                <w:rFonts w:hint="eastAsia" w:ascii="宋体" w:hAnsi="宋体" w:eastAsia="宋体" w:cs="宋体"/>
                <w:sz w:val="24"/>
                <w:szCs w:val="24"/>
              </w:rPr>
              <w:t>理解组织及其环境</w:t>
            </w:r>
          </w:p>
          <w:p>
            <w:pPr>
              <w:spacing w:line="360" w:lineRule="auto"/>
              <w:rPr>
                <w:rFonts w:hint="eastAsia" w:ascii="宋体" w:hAnsi="宋体" w:eastAsia="宋体" w:cs="宋体"/>
                <w:sz w:val="24"/>
                <w:szCs w:val="24"/>
              </w:rPr>
            </w:pPr>
            <w:r>
              <w:rPr>
                <w:rFonts w:hint="eastAsia" w:ascii="宋体" w:hAnsi="宋体" w:eastAsia="宋体" w:cs="宋体"/>
                <w:sz w:val="24"/>
                <w:szCs w:val="24"/>
              </w:rPr>
              <w:t>总要求</w:t>
            </w:r>
          </w:p>
          <w:p>
            <w:pPr>
              <w:spacing w:line="360" w:lineRule="auto"/>
              <w:rPr>
                <w:rFonts w:hint="eastAsia" w:ascii="宋体" w:hAnsi="宋体" w:eastAsia="宋体" w:cs="宋体"/>
                <w:sz w:val="24"/>
                <w:szCs w:val="24"/>
              </w:rPr>
            </w:pPr>
          </w:p>
        </w:tc>
        <w:tc>
          <w:tcPr>
            <w:tcW w:w="1311" w:type="dxa"/>
          </w:tcPr>
          <w:p>
            <w:pPr>
              <w:spacing w:line="360" w:lineRule="auto"/>
              <w:rPr>
                <w:rFonts w:hint="eastAsia" w:ascii="宋体" w:hAnsi="宋体" w:eastAsia="宋体" w:cs="宋体"/>
                <w:sz w:val="24"/>
                <w:szCs w:val="24"/>
              </w:rPr>
            </w:pPr>
            <w:r>
              <w:rPr>
                <w:rFonts w:hint="eastAsia" w:ascii="宋体" w:hAnsi="宋体" w:eastAsia="宋体" w:cs="宋体"/>
                <w:sz w:val="24"/>
                <w:szCs w:val="24"/>
              </w:rPr>
              <w:t>E4.1</w:t>
            </w:r>
          </w:p>
          <w:p>
            <w:pPr>
              <w:spacing w:line="360" w:lineRule="auto"/>
              <w:rPr>
                <w:rFonts w:hint="eastAsia" w:ascii="宋体" w:hAnsi="宋体" w:eastAsia="宋体" w:cs="宋体"/>
                <w:sz w:val="24"/>
                <w:szCs w:val="24"/>
              </w:rPr>
            </w:pPr>
          </w:p>
        </w:tc>
        <w:tc>
          <w:tcPr>
            <w:tcW w:w="11385" w:type="dxa"/>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总经理述：为了提高公司整体的市场竞争力和准入能力，现着力推行管理体系。总经理确定与本公司管理目标和战略方向相关并影响实现管理体系预期结果的各种内部因素（公司的价值观、文化、知识、绩效等相关因素）和外部因素（国际、国家、地区和当地的各种法律法规、技术、竞争、文化和社会因素等）。这些因素包括了需要考虑的正面和负面因素或条件。</w:t>
            </w:r>
          </w:p>
          <w:p>
            <w:pPr>
              <w:spacing w:line="360" w:lineRule="auto"/>
              <w:rPr>
                <w:rFonts w:hint="eastAsia" w:ascii="宋体" w:hAnsi="宋体" w:eastAsia="宋体" w:cs="宋体"/>
                <w:sz w:val="24"/>
                <w:szCs w:val="24"/>
              </w:rPr>
            </w:pPr>
            <w:r>
              <w:rPr>
                <w:rFonts w:hint="eastAsia" w:ascii="宋体" w:hAnsi="宋体" w:eastAsia="宋体" w:cs="宋体"/>
                <w:sz w:val="24"/>
                <w:szCs w:val="24"/>
              </w:rPr>
              <w:t>公司每年根据由公司销售人员从市场、客户、网络等搜集到的信息并结合公司自身业务运作情况进行分析，通过分析对这些内部和外部因素的相关信息进行监视和评审以确保其充分和适宜。</w:t>
            </w:r>
          </w:p>
        </w:tc>
        <w:tc>
          <w:tcPr>
            <w:tcW w:w="753" w:type="dxa"/>
          </w:tcPr>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1260" w:type="dxa"/>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理解相关方的需求和期望</w:t>
            </w:r>
          </w:p>
        </w:tc>
        <w:tc>
          <w:tcPr>
            <w:tcW w:w="1311" w:type="dxa"/>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E4.2</w:t>
            </w:r>
          </w:p>
        </w:tc>
        <w:tc>
          <w:tcPr>
            <w:tcW w:w="11385" w:type="dxa"/>
            <w:vAlign w:val="center"/>
          </w:tcPr>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在公司运营过程中充分考虑相关方方面的期望或要求，识别的相关方有：顾客、最终用户或受益人、业主，股东、员工等。</w:t>
            </w:r>
            <w:r>
              <w:rPr>
                <w:rFonts w:hint="eastAsia" w:ascii="宋体" w:hAnsi="宋体" w:eastAsia="宋体" w:cs="宋体"/>
                <w:sz w:val="24"/>
                <w:szCs w:val="24"/>
                <w:lang w:eastAsia="zh-CN"/>
              </w:rPr>
              <w:t>供销部</w:t>
            </w:r>
            <w:r>
              <w:rPr>
                <w:rFonts w:hint="eastAsia" w:ascii="宋体" w:hAnsi="宋体" w:eastAsia="宋体" w:cs="宋体"/>
                <w:sz w:val="24"/>
                <w:szCs w:val="24"/>
              </w:rPr>
              <w:t>门和相关职能部门通过日常例会、市场活动、现场拜访、产品展销会、客户调查等多种渠道和方式方法随时了解相关方的需求和期望。做为公司经营风险分析和发展机遇的可利用资源。</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与公司高管交流，内外部相关方需求分析到位，未形成很好的书面材料。口头交流。</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内外部环境要素识别与评估：在每年的管理评审前，由相关部门负责人进行识别并评估其适宜性。以便于持续满足相关方的需求和期望。</w:t>
            </w:r>
          </w:p>
        </w:tc>
        <w:tc>
          <w:tcPr>
            <w:tcW w:w="753" w:type="dxa"/>
          </w:tcPr>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260" w:type="dxa"/>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管理体系及其过程</w:t>
            </w:r>
          </w:p>
          <w:p>
            <w:pPr>
              <w:spacing w:line="360" w:lineRule="auto"/>
              <w:rPr>
                <w:rFonts w:hint="eastAsia" w:ascii="宋体" w:hAnsi="宋体" w:eastAsia="宋体" w:cs="宋体"/>
                <w:sz w:val="24"/>
                <w:szCs w:val="24"/>
              </w:rPr>
            </w:pPr>
          </w:p>
        </w:tc>
        <w:tc>
          <w:tcPr>
            <w:tcW w:w="1311" w:type="dxa"/>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E4.4</w:t>
            </w:r>
          </w:p>
        </w:tc>
        <w:tc>
          <w:tcPr>
            <w:tcW w:w="11385" w:type="dxa"/>
            <w:vAlign w:val="center"/>
          </w:tcPr>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组织于</w:t>
            </w:r>
            <w:r>
              <w:rPr>
                <w:rFonts w:hint="eastAsia" w:ascii="宋体" w:hAnsi="宋体" w:eastAsia="宋体" w:cs="宋体"/>
                <w:sz w:val="24"/>
                <w:szCs w:val="24"/>
                <w:lang w:eastAsia="zh-CN"/>
              </w:rPr>
              <w:t>2</w:t>
            </w:r>
            <w:r>
              <w:rPr>
                <w:rFonts w:hint="eastAsia" w:ascii="宋体" w:hAnsi="宋体" w:eastAsia="宋体" w:cs="宋体"/>
                <w:sz w:val="24"/>
                <w:szCs w:val="24"/>
                <w:lang w:val="en-US" w:eastAsia="zh-CN"/>
              </w:rPr>
              <w:t>022</w:t>
            </w:r>
            <w:r>
              <w:rPr>
                <w:rFonts w:hint="eastAsia" w:ascii="宋体" w:hAnsi="宋体" w:eastAsia="宋体" w:cs="宋体"/>
                <w:sz w:val="24"/>
                <w:szCs w:val="24"/>
              </w:rPr>
              <w:t>年</w:t>
            </w:r>
            <w:r>
              <w:rPr>
                <w:rFonts w:hint="eastAsia" w:ascii="宋体" w:hAnsi="宋体" w:eastAsia="宋体" w:cs="宋体"/>
                <w:sz w:val="24"/>
                <w:szCs w:val="24"/>
                <w:lang w:val="en-US" w:eastAsia="zh-CN"/>
              </w:rPr>
              <w:t>1</w:t>
            </w:r>
            <w:r>
              <w:rPr>
                <w:rFonts w:hint="eastAsia" w:ascii="宋体" w:hAnsi="宋体" w:eastAsia="宋体" w:cs="宋体"/>
                <w:sz w:val="24"/>
                <w:szCs w:val="24"/>
              </w:rPr>
              <w:t>月</w:t>
            </w:r>
            <w:r>
              <w:rPr>
                <w:rFonts w:hint="eastAsia" w:ascii="宋体" w:hAnsi="宋体" w:eastAsia="宋体" w:cs="宋体"/>
                <w:sz w:val="24"/>
                <w:szCs w:val="24"/>
                <w:lang w:val="en-US" w:eastAsia="zh-CN"/>
              </w:rPr>
              <w:t>1</w:t>
            </w:r>
            <w:r>
              <w:rPr>
                <w:rFonts w:hint="eastAsia" w:ascii="宋体" w:hAnsi="宋体" w:eastAsia="宋体" w:cs="宋体"/>
                <w:sz w:val="24"/>
                <w:szCs w:val="24"/>
              </w:rPr>
              <w:t>日建立并正式实施管理体系。同时根据自身的实际情况和标准的要求组织工作人员编制了管理手册、作业文件和记录表格，制定了管理方针和管理目标。通过对过程监测结果进行分析，公司管理体系不断改进。</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确定了管理体系所需的过程，如文件与记录管理过程、人力资源管理过程、销售过程、环境运行过程等，并明确各过程的目标和职责，及各过程之间的衔接和影响。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出示有“部门管理目标策划记录”对管理目标完成情况进行检查、统计、记录。</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提供了支持过程策划和运行的形成文件的信息。</w:t>
            </w:r>
          </w:p>
        </w:tc>
        <w:tc>
          <w:tcPr>
            <w:tcW w:w="753" w:type="dxa"/>
          </w:tcPr>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1260" w:type="dxa"/>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领导作用和承诺</w:t>
            </w:r>
          </w:p>
          <w:p>
            <w:pPr>
              <w:spacing w:line="360" w:lineRule="auto"/>
              <w:rPr>
                <w:rFonts w:hint="eastAsia" w:ascii="宋体" w:hAnsi="宋体" w:eastAsia="宋体" w:cs="宋体"/>
                <w:sz w:val="24"/>
                <w:szCs w:val="24"/>
              </w:rPr>
            </w:pPr>
          </w:p>
        </w:tc>
        <w:tc>
          <w:tcPr>
            <w:tcW w:w="1311" w:type="dxa"/>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E5.1</w:t>
            </w:r>
          </w:p>
        </w:tc>
        <w:tc>
          <w:tcPr>
            <w:tcW w:w="11385" w:type="dxa"/>
            <w:vAlign w:val="center"/>
          </w:tcPr>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企业最高管理者对管理体系的领导作用和承诺主要通过以下方面体现：对管理体系运行的有效性负责；促进使用过程方法和基于风险的思维确保管理体系要求融入企业的业务过程；确保建立的管理体系与组织内外部环境、战略方向保持一致管理方针、管理目标的制定，应与组织环境相适应，与战略方向一致；为确保管理体系所需的资源（包括人力、设备、技术和信息等）确保管理体系实现期望的结果；督促人员积极参与、指导和支持员工为管理体系的有效性做出贡献；支持相关管理者在其职责范围内发挥领导作用，推动改进等。领导作用和承诺充分明确，基本符合标准要求。</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企业最高管理者以顾客为关注焦点和承诺内部有通过以下方面证实：满足顾客产品要求和相关方环境要求的重要性意识和理念，确定和理解并持续地顾客要求以及适用的法律法规要求；确定和应对风险和机遇，这些风险和机遇可能影响产品和服务合格以及增强顾客满意的能力；始终致力于增强顾客和相关方满意。</w:t>
            </w:r>
          </w:p>
        </w:tc>
        <w:tc>
          <w:tcPr>
            <w:tcW w:w="753" w:type="dxa"/>
          </w:tcPr>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trPr>
        <w:tc>
          <w:tcPr>
            <w:tcW w:w="1260" w:type="dxa"/>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环境方针</w:t>
            </w:r>
          </w:p>
        </w:tc>
        <w:tc>
          <w:tcPr>
            <w:tcW w:w="1311" w:type="dxa"/>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E5.2</w:t>
            </w:r>
          </w:p>
          <w:p>
            <w:pPr>
              <w:spacing w:line="360" w:lineRule="auto"/>
              <w:rPr>
                <w:rFonts w:hint="eastAsia" w:ascii="宋体" w:hAnsi="宋体" w:eastAsia="宋体" w:cs="宋体"/>
                <w:sz w:val="24"/>
                <w:szCs w:val="24"/>
              </w:rPr>
            </w:pPr>
          </w:p>
        </w:tc>
        <w:tc>
          <w:tcPr>
            <w:tcW w:w="11385" w:type="dxa"/>
            <w:vAlign w:val="center"/>
          </w:tcPr>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公司的管理方针是：</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遵守法律法规     制造绿色产品</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节能降耗降废     清洁安全服务</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管理持续改进     建设美好家园</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公司通过各种宣传方式，将管理方针宣传到本公司各层次，确保方针得到正确的理解和实施。在每次管理评审会议上，总经理组织对方针的持续适宜性和有效性进行评审，并根据评审结果对其做出必要的调整。当有相关方需要公司提供管理方针时，可通过公司内部进行传递获取。</w:t>
            </w:r>
          </w:p>
          <w:p>
            <w:pPr>
              <w:pStyle w:val="2"/>
              <w:spacing w:line="360" w:lineRule="auto"/>
              <w:ind w:firstLine="52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方针没有变化。</w:t>
            </w:r>
          </w:p>
        </w:tc>
        <w:tc>
          <w:tcPr>
            <w:tcW w:w="753" w:type="dxa"/>
          </w:tcPr>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atLeast"/>
        </w:trPr>
        <w:tc>
          <w:tcPr>
            <w:tcW w:w="1260" w:type="dxa"/>
            <w:vAlign w:val="center"/>
          </w:tcPr>
          <w:p>
            <w:pPr>
              <w:spacing w:line="360" w:lineRule="auto"/>
              <w:rPr>
                <w:rFonts w:hint="eastAsia" w:ascii="宋体" w:hAnsi="宋体" w:eastAsia="宋体" w:cs="宋体"/>
                <w:sz w:val="24"/>
                <w:szCs w:val="24"/>
              </w:rPr>
            </w:pPr>
            <w:r>
              <w:rPr>
                <w:rFonts w:hint="eastAsia" w:ascii="宋体" w:hAnsi="宋体" w:eastAsia="宋体" w:cs="宋体"/>
                <w:color w:val="000000" w:themeColor="text1"/>
                <w:sz w:val="24"/>
                <w:szCs w:val="24"/>
              </w:rPr>
              <w:t>组织的角色、职责和权限</w:t>
            </w:r>
          </w:p>
        </w:tc>
        <w:tc>
          <w:tcPr>
            <w:tcW w:w="1311" w:type="dxa"/>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E5.3</w:t>
            </w:r>
          </w:p>
          <w:p>
            <w:pPr>
              <w:spacing w:line="360" w:lineRule="auto"/>
              <w:rPr>
                <w:rFonts w:hint="eastAsia" w:ascii="宋体" w:hAnsi="宋体" w:eastAsia="宋体" w:cs="宋体"/>
                <w:sz w:val="24"/>
                <w:szCs w:val="24"/>
              </w:rPr>
            </w:pPr>
          </w:p>
        </w:tc>
        <w:tc>
          <w:tcPr>
            <w:tcW w:w="11385" w:type="dxa"/>
            <w:vAlign w:val="center"/>
          </w:tcPr>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公司设置了完善的组织结构，并规定了各级各岗位人员职责、权限和相互关系，编制</w:t>
            </w:r>
            <w:r>
              <w:rPr>
                <w:rFonts w:hint="eastAsia" w:ascii="宋体" w:hAnsi="宋体" w:eastAsia="宋体" w:cs="宋体"/>
                <w:sz w:val="24"/>
                <w:szCs w:val="24"/>
                <w:lang w:eastAsia="zh-CN"/>
              </w:rPr>
              <w:t>人力资源控制程序</w:t>
            </w:r>
            <w:r>
              <w:rPr>
                <w:rFonts w:hint="eastAsia" w:ascii="宋体" w:hAnsi="宋体" w:eastAsia="宋体" w:cs="宋体"/>
                <w:sz w:val="24"/>
                <w:szCs w:val="24"/>
              </w:rPr>
              <w:t>和《岗位描述书》，规定了控制要求并在公司内对各级员工进行了必要的传达。对从事与环境有关的管理、执行和验证人员规定其职责、权限及其相互关系，并书面化，以实现公司管理方针和管理目标。有效进行管理体系各项活动，出示了公司管理体系职能分配表。</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公司的部门设置有：</w:t>
            </w:r>
            <w:r>
              <w:rPr>
                <w:rFonts w:hint="eastAsia" w:ascii="宋体" w:hAnsi="宋体" w:eastAsia="宋体" w:cs="宋体"/>
                <w:sz w:val="24"/>
                <w:szCs w:val="24"/>
                <w:lang w:val="en-US" w:eastAsia="zh-CN"/>
              </w:rPr>
              <w:t>综合部</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供销</w:t>
            </w:r>
            <w:r>
              <w:rPr>
                <w:rFonts w:hint="eastAsia" w:ascii="宋体" w:hAnsi="宋体" w:eastAsia="宋体" w:cs="宋体"/>
                <w:sz w:val="24"/>
                <w:szCs w:val="24"/>
              </w:rPr>
              <w:t>部</w:t>
            </w:r>
            <w:r>
              <w:rPr>
                <w:rFonts w:hint="eastAsia" w:ascii="宋体" w:hAnsi="宋体" w:eastAsia="宋体" w:cs="宋体"/>
                <w:sz w:val="24"/>
                <w:szCs w:val="24"/>
                <w:lang w:val="en-US" w:eastAsia="zh-CN"/>
              </w:rPr>
              <w:t xml:space="preserve"> </w:t>
            </w:r>
          </w:p>
        </w:tc>
        <w:tc>
          <w:tcPr>
            <w:tcW w:w="753" w:type="dxa"/>
          </w:tcPr>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60" w:type="dxa"/>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风险和机遇应对措施及策划</w:t>
            </w:r>
          </w:p>
        </w:tc>
        <w:tc>
          <w:tcPr>
            <w:tcW w:w="1311" w:type="dxa"/>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E6.1</w:t>
            </w:r>
          </w:p>
        </w:tc>
        <w:tc>
          <w:tcPr>
            <w:tcW w:w="11385" w:type="dxa"/>
            <w:vAlign w:val="center"/>
          </w:tcPr>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公司制定管理手册中，明确风险和机遇事件的识别方法/途径、风险和机遇事件的评估方式、制定主要风险和机遇事件的应对措施的要求、评价这些措施有效性的方法。</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制定了《</w:t>
            </w:r>
            <w:r>
              <w:rPr>
                <w:rFonts w:hint="eastAsia" w:ascii="宋体" w:hAnsi="宋体" w:eastAsia="宋体" w:cs="宋体"/>
                <w:sz w:val="24"/>
                <w:szCs w:val="24"/>
                <w:lang w:eastAsia="zh-CN"/>
              </w:rPr>
              <w:t>风险和机遇应对控制程序</w:t>
            </w:r>
            <w:r>
              <w:rPr>
                <w:rFonts w:hint="eastAsia" w:ascii="宋体" w:hAnsi="宋体" w:eastAsia="宋体" w:cs="宋体"/>
                <w:sz w:val="24"/>
                <w:szCs w:val="24"/>
              </w:rPr>
              <w:t>》，提供“风险与机遇评价与应对策划表”，按照销售服务、采购、支持过程/部门对风险和机遇进行了评价识别，并制定应对措施。</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如合同、协议内容评审不及时、不全面，合同签署后不能如期、按照要求履约、客户公司不及时回款、盖章合同未及时收回、市场需求量减少，经济不景气，同时加上竞争对手的扩大发展，对公司产品的竞争力和价格都产生比较大的压力，市场风险比较大、力资源管理过程、文件化信息管理过程、分析、评价与改进过程等。应急管理过程人员管理过程中出现的岗位人员突然离岗多人；员工能力、不能满足岗位需求；员工思想波动，工作不安心等风险共识别多项内容。</w:t>
            </w:r>
          </w:p>
          <w:p>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采取措施是：制定并严格执行合同会签制度，各部门主管负责人及总经理审阅同意后才能签署盖章</w:t>
            </w:r>
            <w:r>
              <w:rPr>
                <w:rFonts w:hint="eastAsia" w:ascii="宋体" w:hAnsi="宋体" w:eastAsia="宋体" w:cs="宋体"/>
                <w:sz w:val="24"/>
                <w:szCs w:val="24"/>
                <w:lang w:eastAsia="zh-CN"/>
              </w:rPr>
              <w:t>。</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每月按照合同、协议对账时间及时对账，催款，回款，降低资金风险。</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本公司盖完章后，一个月内必须收回对方盖章合同。如到期回不来备注原因，降低公司无合同风险。</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定期汇总分析市场情况，包括行业发展情况，相关企业产品分析，竞品分析，行业政策跟踪，以保证随时掌握行业及竞争企业的发展动态，为研发及业务拓展提供决策依据；</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要提前制定好采购计划和拓展采购的渠道，保证供应。</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公司提供财务支持，对主要供应商的优质产品保持价格优势，促进有序采购；</w:t>
            </w:r>
          </w:p>
          <w:p>
            <w:pPr>
              <w:spacing w:line="360" w:lineRule="auto"/>
              <w:rPr>
                <w:rFonts w:hint="eastAsia" w:ascii="宋体" w:hAnsi="宋体" w:eastAsia="宋体" w:cs="宋体"/>
                <w:sz w:val="24"/>
                <w:szCs w:val="24"/>
              </w:rPr>
            </w:pPr>
            <w:r>
              <w:rPr>
                <w:rFonts w:hint="eastAsia" w:ascii="宋体" w:hAnsi="宋体" w:eastAsia="宋体" w:cs="宋体"/>
                <w:sz w:val="24"/>
                <w:szCs w:val="24"/>
              </w:rPr>
              <w:t>及时获取顾客要求，对供货商进行严格资质评定，有环保要求的产品要求提供检测报告或材质单应急准备与响应控制程序、应急预案/制定目标等。识别人：</w:t>
            </w:r>
            <w:r>
              <w:rPr>
                <w:rFonts w:hint="eastAsia" w:ascii="宋体" w:hAnsi="宋体" w:eastAsia="宋体" w:cs="宋体"/>
                <w:sz w:val="24"/>
                <w:szCs w:val="24"/>
                <w:lang w:val="en-US" w:eastAsia="zh-CN"/>
              </w:rPr>
              <w:t>康洁</w:t>
            </w:r>
            <w:r>
              <w:rPr>
                <w:rFonts w:hint="eastAsia" w:ascii="宋体" w:hAnsi="宋体" w:eastAsia="宋体" w:cs="宋体"/>
                <w:sz w:val="24"/>
                <w:szCs w:val="24"/>
              </w:rPr>
              <w:t xml:space="preserve">等， </w:t>
            </w:r>
            <w:r>
              <w:rPr>
                <w:rFonts w:hint="eastAsia" w:ascii="宋体" w:hAnsi="宋体" w:eastAsia="宋体" w:cs="宋体"/>
                <w:sz w:val="24"/>
                <w:szCs w:val="24"/>
                <w:lang w:eastAsia="zh-CN"/>
              </w:rPr>
              <w:t>202</w:t>
            </w:r>
            <w:r>
              <w:rPr>
                <w:rFonts w:hint="eastAsia" w:ascii="宋体" w:hAnsi="宋体" w:eastAsia="宋体" w:cs="宋体"/>
                <w:sz w:val="24"/>
                <w:szCs w:val="24"/>
                <w:lang w:val="en-US" w:eastAsia="zh-CN"/>
              </w:rPr>
              <w:t>2</w:t>
            </w:r>
            <w:r>
              <w:rPr>
                <w:rFonts w:hint="eastAsia" w:ascii="宋体" w:hAnsi="宋体" w:eastAsia="宋体" w:cs="宋体"/>
                <w:sz w:val="24"/>
                <w:szCs w:val="24"/>
              </w:rPr>
              <w:t>.</w:t>
            </w:r>
            <w:r>
              <w:rPr>
                <w:rFonts w:hint="eastAsia" w:ascii="宋体" w:hAnsi="宋体" w:eastAsia="宋体" w:cs="宋体"/>
                <w:sz w:val="24"/>
                <w:szCs w:val="24"/>
                <w:lang w:val="en-US" w:eastAsia="zh-CN"/>
              </w:rPr>
              <w:t>1</w:t>
            </w:r>
            <w:r>
              <w:rPr>
                <w:rFonts w:hint="eastAsia" w:ascii="宋体" w:hAnsi="宋体" w:eastAsia="宋体" w:cs="宋体"/>
                <w:sz w:val="24"/>
                <w:szCs w:val="24"/>
              </w:rPr>
              <w:t>.</w:t>
            </w:r>
            <w:r>
              <w:rPr>
                <w:rFonts w:hint="eastAsia" w:ascii="宋体" w:hAnsi="宋体" w:eastAsia="宋体" w:cs="宋体"/>
                <w:sz w:val="24"/>
                <w:szCs w:val="24"/>
                <w:lang w:val="en-US" w:eastAsia="zh-CN"/>
              </w:rPr>
              <w:t>5</w:t>
            </w:r>
            <w:r>
              <w:rPr>
                <w:rFonts w:hint="eastAsia" w:ascii="宋体" w:hAnsi="宋体" w:eastAsia="宋体" w:cs="宋体"/>
                <w:sz w:val="24"/>
                <w:szCs w:val="24"/>
              </w:rPr>
              <w:t>。</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风险机遇识别基本充分，应对风险和机遇的措施基本适宜。</w:t>
            </w:r>
          </w:p>
        </w:tc>
        <w:tc>
          <w:tcPr>
            <w:tcW w:w="753" w:type="dxa"/>
          </w:tcPr>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260" w:type="dxa"/>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管理目标及其实现的策划</w:t>
            </w:r>
          </w:p>
        </w:tc>
        <w:tc>
          <w:tcPr>
            <w:tcW w:w="1311" w:type="dxa"/>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E6.2</w:t>
            </w:r>
          </w:p>
          <w:p>
            <w:pPr>
              <w:spacing w:line="360" w:lineRule="auto"/>
              <w:rPr>
                <w:rFonts w:hint="eastAsia" w:ascii="宋体" w:hAnsi="宋体" w:eastAsia="宋体" w:cs="宋体"/>
                <w:sz w:val="24"/>
                <w:szCs w:val="24"/>
              </w:rPr>
            </w:pPr>
          </w:p>
        </w:tc>
        <w:tc>
          <w:tcPr>
            <w:tcW w:w="11385" w:type="dxa"/>
            <w:vAlign w:val="center"/>
          </w:tcPr>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总经理负责组织制定公司的环境管理目标，并在公司各部门进行分解，制定时考虑了公司的质量过程及其风险和机遇。</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公司环境目标：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完成情况  </w:t>
            </w:r>
          </w:p>
          <w:p>
            <w:pPr>
              <w:spacing w:line="360" w:lineRule="auto"/>
              <w:rPr>
                <w:rFonts w:hint="eastAsia" w:ascii="宋体" w:hAnsi="宋体" w:eastAsia="宋体" w:cs="宋体"/>
                <w:sz w:val="24"/>
                <w:szCs w:val="24"/>
              </w:rPr>
            </w:pPr>
            <w:r>
              <w:rPr>
                <w:rFonts w:hint="eastAsia" w:ascii="宋体" w:hAnsi="宋体" w:eastAsia="宋体" w:cs="宋体"/>
                <w:sz w:val="24"/>
                <w:szCs w:val="24"/>
              </w:rPr>
              <w:t>（1）固体废弃物100%分类集中处理；   </w:t>
            </w:r>
            <w:r>
              <w:rPr>
                <w:rFonts w:hint="eastAsia" w:ascii="宋体" w:hAnsi="宋体" w:eastAsia="宋体" w:cs="宋体"/>
                <w:sz w:val="24"/>
                <w:szCs w:val="24"/>
                <w:lang w:val="en-US" w:eastAsia="zh-CN"/>
              </w:rPr>
              <w:t>100%</w:t>
            </w:r>
            <w:r>
              <w:rPr>
                <w:rFonts w:hint="eastAsia" w:ascii="宋体" w:hAnsi="宋体" w:eastAsia="宋体" w:cs="宋体"/>
                <w:sz w:val="24"/>
                <w:szCs w:val="24"/>
              </w:rPr>
              <w:t>  </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t>（2）环境污染事故为0；</w:t>
            </w:r>
            <w:r>
              <w:rPr>
                <w:rFonts w:hint="eastAsia" w:ascii="宋体" w:hAnsi="宋体" w:eastAsia="宋体" w:cs="宋体"/>
                <w:sz w:val="24"/>
                <w:szCs w:val="24"/>
                <w:lang w:val="en-US" w:eastAsia="zh-CN"/>
              </w:rPr>
              <w:t xml:space="preserve">                  0</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t>（3）火灾事故为0。</w:t>
            </w:r>
            <w:r>
              <w:rPr>
                <w:rFonts w:hint="eastAsia" w:ascii="宋体" w:hAnsi="宋体" w:eastAsia="宋体" w:cs="宋体"/>
                <w:sz w:val="24"/>
                <w:szCs w:val="24"/>
                <w:lang w:val="en-US" w:eastAsia="zh-CN"/>
              </w:rPr>
              <w:t xml:space="preserve">                      0</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提供2022年1-2022年6月目标完成情况统计表，2022年一、二季度对目标进行了统计，以上目</w:t>
            </w:r>
            <w:r>
              <w:rPr>
                <w:rFonts w:hint="eastAsia" w:ascii="宋体" w:hAnsi="宋体" w:eastAsia="宋体" w:cs="宋体"/>
                <w:sz w:val="24"/>
                <w:szCs w:val="24"/>
              </w:rPr>
              <w:t>标指标均已完成。</w:t>
            </w:r>
          </w:p>
          <w:p>
            <w:pPr>
              <w:spacing w:line="360" w:lineRule="auto"/>
              <w:rPr>
                <w:rFonts w:hint="eastAsia" w:ascii="宋体" w:hAnsi="宋体" w:eastAsia="宋体" w:cs="宋体"/>
                <w:sz w:val="24"/>
                <w:szCs w:val="24"/>
              </w:rPr>
            </w:pPr>
            <w:r>
              <w:rPr>
                <w:rFonts w:hint="eastAsia" w:ascii="宋体" w:hAnsi="宋体" w:eastAsia="宋体" w:cs="宋体"/>
                <w:sz w:val="24"/>
                <w:szCs w:val="24"/>
              </w:rPr>
              <w:t>提供《目标指标和管理方案》《目标指标和管理方案考核表》</w:t>
            </w:r>
          </w:p>
          <w:p>
            <w:pPr>
              <w:spacing w:line="360" w:lineRule="auto"/>
              <w:rPr>
                <w:rFonts w:hint="eastAsia" w:ascii="宋体" w:hAnsi="宋体" w:eastAsia="宋体" w:cs="宋体"/>
                <w:sz w:val="24"/>
                <w:szCs w:val="24"/>
              </w:rPr>
            </w:pPr>
            <w:r>
              <w:rPr>
                <w:rFonts w:hint="eastAsia" w:ascii="宋体" w:hAnsi="宋体" w:eastAsia="宋体" w:cs="宋体"/>
                <w:sz w:val="24"/>
                <w:szCs w:val="24"/>
              </w:rPr>
              <w:t>以上目标指标均已完成，管理方案规定了措施方法、完成时间表、责任人、资金等情况。详见各部门记录。</w:t>
            </w:r>
          </w:p>
        </w:tc>
        <w:tc>
          <w:tcPr>
            <w:tcW w:w="753" w:type="dxa"/>
          </w:tcPr>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trPr>
        <w:tc>
          <w:tcPr>
            <w:tcW w:w="1260" w:type="dxa"/>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资源-总则</w:t>
            </w:r>
          </w:p>
        </w:tc>
        <w:tc>
          <w:tcPr>
            <w:tcW w:w="1311" w:type="dxa"/>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E7.1</w:t>
            </w:r>
          </w:p>
        </w:tc>
        <w:tc>
          <w:tcPr>
            <w:tcW w:w="11385" w:type="dxa"/>
            <w:vAlign w:val="center"/>
          </w:tcPr>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公司根据公司经营运行需要，配备了各岗位所需人员、经营用房屋、生产设备、监视测量设备、办公设备（电脑、打印机等）、消防器材、环境防护用品。</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经营运行资金等资源，体系建立至今，未发生资源不足影响满足客户要求的现象.</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办</w:t>
            </w:r>
            <w:r>
              <w:rPr>
                <w:rFonts w:hint="eastAsia" w:ascii="宋体" w:hAnsi="宋体" w:eastAsia="宋体" w:cs="宋体"/>
                <w:color w:val="auto"/>
                <w:sz w:val="24"/>
                <w:szCs w:val="24"/>
              </w:rPr>
              <w:t>公</w:t>
            </w:r>
            <w:r>
              <w:rPr>
                <w:rFonts w:hint="eastAsia" w:ascii="宋体" w:hAnsi="宋体" w:eastAsia="宋体" w:cs="宋体"/>
                <w:color w:val="auto"/>
                <w:sz w:val="24"/>
                <w:szCs w:val="24"/>
                <w:lang w:val="en-US" w:eastAsia="zh-CN"/>
              </w:rPr>
              <w:t>地址位于西安市雁塔区延兴门西路755号 国家大学科技园科创孵化基地2号楼 A座705室，</w:t>
            </w:r>
            <w:r>
              <w:rPr>
                <w:rFonts w:hint="eastAsia" w:ascii="宋体" w:hAnsi="宋体" w:eastAsia="宋体" w:cs="宋体"/>
                <w:color w:val="auto"/>
                <w:sz w:val="24"/>
                <w:szCs w:val="24"/>
              </w:rPr>
              <w:t>面积约</w:t>
            </w:r>
            <w:bookmarkStart w:id="3" w:name="_GoBack"/>
            <w:r>
              <w:rPr>
                <w:rFonts w:hint="eastAsia" w:ascii="宋体" w:hAnsi="宋体" w:eastAsia="宋体" w:cs="宋体"/>
                <w:color w:val="auto"/>
                <w:sz w:val="24"/>
                <w:szCs w:val="24"/>
                <w:lang w:val="en-US" w:eastAsia="zh-CN"/>
              </w:rPr>
              <w:t>180</w:t>
            </w:r>
            <w:bookmarkEnd w:id="3"/>
            <w:r>
              <w:rPr>
                <w:rFonts w:hint="eastAsia" w:ascii="宋体" w:hAnsi="宋体" w:eastAsia="宋体" w:cs="宋体"/>
                <w:color w:val="auto"/>
                <w:sz w:val="24"/>
                <w:szCs w:val="24"/>
              </w:rPr>
              <w:t>平米</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打印机、电脑、复印机等配备齐全。</w:t>
            </w:r>
          </w:p>
        </w:tc>
        <w:tc>
          <w:tcPr>
            <w:tcW w:w="753" w:type="dxa"/>
          </w:tcPr>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60" w:type="dxa"/>
          </w:tcPr>
          <w:p>
            <w:pPr>
              <w:spacing w:line="360" w:lineRule="auto"/>
              <w:rPr>
                <w:rFonts w:hint="eastAsia" w:ascii="宋体" w:hAnsi="宋体" w:eastAsia="宋体" w:cs="宋体"/>
                <w:sz w:val="24"/>
                <w:szCs w:val="24"/>
              </w:rPr>
            </w:pPr>
            <w:r>
              <w:rPr>
                <w:rFonts w:hint="eastAsia" w:ascii="宋体" w:hAnsi="宋体" w:eastAsia="宋体" w:cs="宋体"/>
                <w:sz w:val="24"/>
                <w:szCs w:val="24"/>
              </w:rPr>
              <w:t>运行策划和控制</w:t>
            </w:r>
          </w:p>
          <w:p>
            <w:pPr>
              <w:spacing w:line="360" w:lineRule="auto"/>
              <w:rPr>
                <w:rFonts w:hint="eastAsia" w:ascii="宋体" w:hAnsi="宋体" w:eastAsia="宋体" w:cs="宋体"/>
                <w:sz w:val="24"/>
                <w:szCs w:val="24"/>
              </w:rPr>
            </w:pPr>
          </w:p>
        </w:tc>
        <w:tc>
          <w:tcPr>
            <w:tcW w:w="1311" w:type="dxa"/>
          </w:tcPr>
          <w:p>
            <w:pPr>
              <w:spacing w:line="360" w:lineRule="auto"/>
              <w:rPr>
                <w:rFonts w:hint="eastAsia" w:ascii="宋体" w:hAnsi="宋体" w:eastAsia="宋体" w:cs="宋体"/>
                <w:sz w:val="24"/>
                <w:szCs w:val="24"/>
              </w:rPr>
            </w:pPr>
            <w:r>
              <w:rPr>
                <w:rFonts w:hint="eastAsia" w:ascii="宋体" w:hAnsi="宋体" w:eastAsia="宋体" w:cs="宋体"/>
                <w:sz w:val="24"/>
                <w:szCs w:val="24"/>
              </w:rPr>
              <w:t>E8.1</w:t>
            </w:r>
          </w:p>
          <w:p>
            <w:pPr>
              <w:spacing w:line="360" w:lineRule="auto"/>
              <w:rPr>
                <w:rFonts w:hint="eastAsia" w:ascii="宋体" w:hAnsi="宋体" w:eastAsia="宋体" w:cs="宋体"/>
                <w:color w:val="FF0000"/>
                <w:sz w:val="24"/>
                <w:szCs w:val="24"/>
              </w:rPr>
            </w:pPr>
          </w:p>
        </w:tc>
        <w:tc>
          <w:tcPr>
            <w:tcW w:w="11385" w:type="dxa"/>
            <w:vAlign w:val="center"/>
          </w:tcPr>
          <w:p>
            <w:pPr>
              <w:spacing w:line="360" w:lineRule="auto"/>
              <w:ind w:firstLine="421"/>
              <w:rPr>
                <w:rFonts w:hint="eastAsia" w:ascii="宋体" w:hAnsi="宋体" w:eastAsia="宋体" w:cs="宋体"/>
                <w:sz w:val="24"/>
                <w:szCs w:val="24"/>
              </w:rPr>
            </w:pPr>
            <w:r>
              <w:rPr>
                <w:rFonts w:hint="eastAsia" w:ascii="宋体" w:hAnsi="宋体" w:eastAsia="宋体" w:cs="宋体"/>
                <w:sz w:val="24"/>
                <w:szCs w:val="24"/>
              </w:rPr>
              <w:t>编制与环境、安全管理体系运行控制有关的文件有《</w:t>
            </w:r>
            <w:r>
              <w:rPr>
                <w:rFonts w:hint="eastAsia" w:ascii="宋体" w:hAnsi="宋体" w:eastAsia="宋体" w:cs="宋体"/>
                <w:sz w:val="24"/>
                <w:szCs w:val="24"/>
                <w:lang w:eastAsia="zh-CN"/>
              </w:rPr>
              <w:t>环境运行控制程序</w:t>
            </w:r>
            <w:r>
              <w:rPr>
                <w:rFonts w:hint="eastAsia" w:ascii="宋体" w:hAnsi="宋体" w:eastAsia="宋体" w:cs="宋体"/>
                <w:sz w:val="24"/>
                <w:szCs w:val="24"/>
              </w:rPr>
              <w:t>》，规定了以下控制：</w:t>
            </w:r>
          </w:p>
          <w:p>
            <w:pPr>
              <w:spacing w:line="360" w:lineRule="auto"/>
              <w:ind w:firstLine="421"/>
              <w:rPr>
                <w:rFonts w:hint="eastAsia" w:ascii="宋体" w:hAnsi="宋体" w:eastAsia="宋体" w:cs="宋体"/>
                <w:sz w:val="24"/>
                <w:szCs w:val="24"/>
              </w:rPr>
            </w:pPr>
            <w:r>
              <w:rPr>
                <w:rFonts w:hint="eastAsia" w:ascii="宋体" w:hAnsi="宋体" w:eastAsia="宋体" w:cs="宋体"/>
                <w:sz w:val="24"/>
                <w:szCs w:val="24"/>
              </w:rPr>
              <w:t>1、废水管控</w:t>
            </w:r>
          </w:p>
          <w:p>
            <w:pPr>
              <w:spacing w:line="360" w:lineRule="auto"/>
              <w:ind w:firstLine="421"/>
              <w:rPr>
                <w:rFonts w:hint="eastAsia" w:ascii="宋体" w:hAnsi="宋体" w:eastAsia="宋体" w:cs="宋体"/>
                <w:sz w:val="24"/>
                <w:szCs w:val="24"/>
              </w:rPr>
            </w:pPr>
            <w:r>
              <w:rPr>
                <w:rFonts w:hint="eastAsia" w:ascii="宋体" w:hAnsi="宋体" w:eastAsia="宋体" w:cs="宋体"/>
                <w:sz w:val="24"/>
                <w:szCs w:val="24"/>
              </w:rPr>
              <w:t>主要生活废水排入政府污水管网统一处理。</w:t>
            </w:r>
          </w:p>
          <w:p>
            <w:pPr>
              <w:spacing w:line="360" w:lineRule="auto"/>
              <w:ind w:firstLine="421"/>
              <w:rPr>
                <w:rFonts w:hint="eastAsia" w:ascii="宋体" w:hAnsi="宋体" w:eastAsia="宋体" w:cs="宋体"/>
                <w:sz w:val="24"/>
                <w:szCs w:val="24"/>
              </w:rPr>
            </w:pPr>
            <w:r>
              <w:rPr>
                <w:rFonts w:hint="eastAsia" w:ascii="宋体" w:hAnsi="宋体" w:eastAsia="宋体" w:cs="宋体"/>
                <w:sz w:val="24"/>
                <w:szCs w:val="24"/>
              </w:rPr>
              <w:t>2、废气管控</w:t>
            </w:r>
          </w:p>
          <w:p>
            <w:pPr>
              <w:spacing w:line="360" w:lineRule="auto"/>
              <w:ind w:firstLine="421"/>
              <w:rPr>
                <w:rFonts w:hint="eastAsia" w:ascii="宋体" w:hAnsi="宋体" w:eastAsia="宋体" w:cs="宋体"/>
                <w:sz w:val="24"/>
                <w:szCs w:val="24"/>
              </w:rPr>
            </w:pPr>
            <w:r>
              <w:rPr>
                <w:rFonts w:hint="eastAsia" w:ascii="宋体" w:hAnsi="宋体" w:eastAsia="宋体" w:cs="宋体"/>
                <w:sz w:val="24"/>
                <w:szCs w:val="24"/>
              </w:rPr>
              <w:t>办公现场基本无废气排放。</w:t>
            </w:r>
          </w:p>
          <w:p>
            <w:pPr>
              <w:spacing w:line="360" w:lineRule="auto"/>
              <w:ind w:firstLine="421"/>
              <w:rPr>
                <w:rFonts w:hint="eastAsia" w:ascii="宋体" w:hAnsi="宋体" w:eastAsia="宋体" w:cs="宋体"/>
                <w:sz w:val="24"/>
                <w:szCs w:val="24"/>
              </w:rPr>
            </w:pPr>
            <w:r>
              <w:rPr>
                <w:rFonts w:hint="eastAsia" w:ascii="宋体" w:hAnsi="宋体" w:eastAsia="宋体" w:cs="宋体"/>
                <w:sz w:val="24"/>
                <w:szCs w:val="24"/>
              </w:rPr>
              <w:t>3、噪声管控</w:t>
            </w:r>
          </w:p>
          <w:p>
            <w:pPr>
              <w:spacing w:line="360" w:lineRule="auto"/>
              <w:ind w:firstLine="421"/>
              <w:rPr>
                <w:rFonts w:hint="eastAsia" w:ascii="宋体" w:hAnsi="宋体" w:eastAsia="宋体" w:cs="宋体"/>
                <w:sz w:val="24"/>
                <w:szCs w:val="24"/>
              </w:rPr>
            </w:pPr>
            <w:r>
              <w:rPr>
                <w:rFonts w:hint="eastAsia" w:ascii="宋体" w:hAnsi="宋体" w:eastAsia="宋体" w:cs="宋体"/>
                <w:sz w:val="24"/>
                <w:szCs w:val="24"/>
              </w:rPr>
              <w:t>办公噪声主要是复印机运行，噪声较低，采取措施按时清洁保养。</w:t>
            </w:r>
          </w:p>
          <w:p>
            <w:pPr>
              <w:spacing w:line="360" w:lineRule="auto"/>
              <w:ind w:firstLine="421"/>
              <w:rPr>
                <w:rFonts w:hint="eastAsia" w:ascii="宋体" w:hAnsi="宋体" w:eastAsia="宋体" w:cs="宋体"/>
                <w:sz w:val="24"/>
                <w:szCs w:val="24"/>
              </w:rPr>
            </w:pPr>
            <w:r>
              <w:rPr>
                <w:rFonts w:hint="eastAsia" w:ascii="宋体" w:hAnsi="宋体" w:eastAsia="宋体" w:cs="宋体"/>
                <w:sz w:val="24"/>
                <w:szCs w:val="24"/>
              </w:rPr>
              <w:t>4、固废管控</w:t>
            </w:r>
          </w:p>
          <w:p>
            <w:pPr>
              <w:spacing w:line="360" w:lineRule="auto"/>
              <w:ind w:firstLine="421"/>
              <w:rPr>
                <w:rFonts w:hint="eastAsia" w:ascii="宋体" w:hAnsi="宋体" w:eastAsia="宋体" w:cs="宋体"/>
                <w:sz w:val="24"/>
                <w:szCs w:val="24"/>
              </w:rPr>
            </w:pPr>
            <w:r>
              <w:rPr>
                <w:rFonts w:hint="eastAsia" w:ascii="宋体" w:hAnsi="宋体" w:eastAsia="宋体" w:cs="宋体"/>
                <w:sz w:val="24"/>
                <w:szCs w:val="24"/>
              </w:rPr>
              <w:t>主要为生活垃圾，</w:t>
            </w:r>
            <w:r>
              <w:rPr>
                <w:rFonts w:hint="eastAsia" w:ascii="宋体" w:hAnsi="宋体" w:eastAsia="宋体" w:cs="宋体"/>
                <w:sz w:val="24"/>
                <w:szCs w:val="24"/>
                <w:lang w:eastAsia="zh-CN"/>
              </w:rPr>
              <w:t>行政部</w:t>
            </w:r>
            <w:r>
              <w:rPr>
                <w:rFonts w:hint="eastAsia" w:ascii="宋体" w:hAnsi="宋体" w:eastAsia="宋体" w:cs="宋体"/>
                <w:sz w:val="24"/>
                <w:szCs w:val="24"/>
              </w:rPr>
              <w:t>有垃圾篓集中倒入垃圾站由市政环卫运送至统一地点集中处理。</w:t>
            </w:r>
          </w:p>
          <w:p>
            <w:pPr>
              <w:numPr>
                <w:ilvl w:val="0"/>
                <w:numId w:val="1"/>
              </w:numPr>
              <w:spacing w:line="360" w:lineRule="auto"/>
              <w:ind w:firstLine="421"/>
              <w:rPr>
                <w:rFonts w:hint="eastAsia" w:ascii="宋体" w:hAnsi="宋体" w:eastAsia="宋体" w:cs="宋体"/>
                <w:sz w:val="24"/>
                <w:szCs w:val="24"/>
              </w:rPr>
            </w:pPr>
            <w:r>
              <w:rPr>
                <w:rFonts w:hint="eastAsia" w:ascii="宋体" w:hAnsi="宋体" w:eastAsia="宋体" w:cs="宋体"/>
                <w:sz w:val="24"/>
                <w:szCs w:val="24"/>
              </w:rPr>
              <w:t>能源资源管控</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销售过程注意节水、节电、节油，人走关闭开关，现场采用声控节能灯，未发现有漏水和浪费电能的现象。</w:t>
            </w:r>
          </w:p>
          <w:p>
            <w:pPr>
              <w:spacing w:line="360" w:lineRule="auto"/>
              <w:ind w:firstLine="421"/>
              <w:rPr>
                <w:rFonts w:hint="eastAsia" w:ascii="宋体" w:hAnsi="宋体" w:eastAsia="宋体" w:cs="宋体"/>
                <w:sz w:val="24"/>
                <w:szCs w:val="24"/>
              </w:rPr>
            </w:pPr>
            <w:r>
              <w:rPr>
                <w:rFonts w:hint="eastAsia" w:ascii="宋体" w:hAnsi="宋体" w:eastAsia="宋体" w:cs="宋体"/>
                <w:sz w:val="24"/>
                <w:szCs w:val="24"/>
              </w:rPr>
              <w:t>6、潜在火灾管控</w:t>
            </w:r>
          </w:p>
          <w:p>
            <w:pPr>
              <w:spacing w:line="360" w:lineRule="auto"/>
              <w:ind w:firstLine="421"/>
              <w:rPr>
                <w:rFonts w:hint="eastAsia" w:ascii="宋体" w:hAnsi="宋体" w:eastAsia="宋体" w:cs="宋体"/>
                <w:sz w:val="24"/>
                <w:szCs w:val="24"/>
              </w:rPr>
            </w:pPr>
            <w:r>
              <w:rPr>
                <w:rFonts w:hint="eastAsia" w:ascii="宋体" w:hAnsi="宋体" w:eastAsia="宋体" w:cs="宋体"/>
                <w:sz w:val="24"/>
                <w:szCs w:val="24"/>
              </w:rPr>
              <w:t>公司办公配备有灭火栓、灭火器，消防通道畅通，每半年有检查，符合要求。</w:t>
            </w:r>
          </w:p>
          <w:p>
            <w:pPr>
              <w:spacing w:line="360" w:lineRule="auto"/>
              <w:ind w:firstLine="421"/>
              <w:rPr>
                <w:rFonts w:hint="eastAsia" w:ascii="宋体" w:hAnsi="宋体" w:eastAsia="宋体" w:cs="宋体"/>
                <w:sz w:val="24"/>
                <w:szCs w:val="24"/>
              </w:rPr>
            </w:pPr>
            <w:r>
              <w:rPr>
                <w:rFonts w:hint="eastAsia" w:ascii="宋体" w:hAnsi="宋体" w:eastAsia="宋体" w:cs="宋体"/>
                <w:sz w:val="24"/>
                <w:szCs w:val="24"/>
              </w:rPr>
              <w:t>7、环境防护</w:t>
            </w:r>
          </w:p>
          <w:p>
            <w:pPr>
              <w:spacing w:line="360" w:lineRule="auto"/>
              <w:ind w:firstLine="421"/>
              <w:rPr>
                <w:rFonts w:hint="eastAsia" w:ascii="宋体" w:hAnsi="宋体" w:eastAsia="宋体" w:cs="宋体"/>
                <w:sz w:val="24"/>
                <w:szCs w:val="24"/>
              </w:rPr>
            </w:pPr>
            <w:r>
              <w:rPr>
                <w:rFonts w:hint="eastAsia" w:ascii="宋体" w:hAnsi="宋体" w:eastAsia="宋体" w:cs="宋体"/>
                <w:sz w:val="24"/>
                <w:szCs w:val="24"/>
              </w:rPr>
              <w:t>公司给员工发放口罩等劳保用品。</w:t>
            </w:r>
          </w:p>
          <w:p>
            <w:pPr>
              <w:spacing w:line="360" w:lineRule="auto"/>
              <w:ind w:firstLine="480" w:firstLineChars="200"/>
              <w:rPr>
                <w:rFonts w:hint="eastAsia" w:ascii="宋体" w:hAnsi="宋体" w:eastAsia="宋体" w:cs="宋体"/>
                <w:color w:val="FF0000"/>
                <w:sz w:val="24"/>
                <w:szCs w:val="24"/>
              </w:rPr>
            </w:pPr>
            <w:r>
              <w:rPr>
                <w:rFonts w:hint="eastAsia" w:ascii="宋体" w:hAnsi="宋体" w:eastAsia="宋体" w:cs="宋体"/>
                <w:sz w:val="24"/>
                <w:szCs w:val="24"/>
              </w:rPr>
              <w:t>8、为关键长期员工上社保。</w:t>
            </w:r>
          </w:p>
        </w:tc>
        <w:tc>
          <w:tcPr>
            <w:tcW w:w="753" w:type="dxa"/>
          </w:tcPr>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260" w:type="dxa"/>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绩效测量和监视</w:t>
            </w:r>
          </w:p>
        </w:tc>
        <w:tc>
          <w:tcPr>
            <w:tcW w:w="1311" w:type="dxa"/>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E</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9.1.1</w:t>
            </w:r>
          </w:p>
          <w:p>
            <w:pPr>
              <w:spacing w:line="360" w:lineRule="auto"/>
              <w:rPr>
                <w:rFonts w:hint="eastAsia" w:ascii="宋体" w:hAnsi="宋体" w:eastAsia="宋体" w:cs="宋体"/>
                <w:sz w:val="24"/>
                <w:szCs w:val="24"/>
              </w:rPr>
            </w:pPr>
          </w:p>
        </w:tc>
        <w:tc>
          <w:tcPr>
            <w:tcW w:w="11385" w:type="dxa"/>
            <w:vAlign w:val="center"/>
          </w:tcPr>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公司制定《内部审核控制程序》 、《管理评审控制程序》 和《</w:t>
            </w:r>
            <w:r>
              <w:rPr>
                <w:rFonts w:hint="eastAsia" w:ascii="宋体" w:hAnsi="宋体" w:eastAsia="宋体" w:cs="宋体"/>
                <w:sz w:val="24"/>
                <w:szCs w:val="24"/>
                <w:lang w:eastAsia="zh-CN"/>
              </w:rPr>
              <w:t>环境运行控制程序</w:t>
            </w:r>
            <w:r>
              <w:rPr>
                <w:rFonts w:hint="eastAsia" w:ascii="宋体" w:hAnsi="宋体" w:eastAsia="宋体" w:cs="宋体"/>
                <w:sz w:val="24"/>
                <w:szCs w:val="24"/>
              </w:rPr>
              <w:t>》为保证公司质量管理体系的有效运行，通过对管理绩效的监视与测量，确保体系运行的有效性。</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查阅“部门目标策划及考核记录表”，</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提供管理目标指标的检查考核工作，均完成目标考核要求。</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查阅“环境和职业健康安全目标指标完成情况检查表”，体系建立至今共进行的管理目标指标的检查考核工作，均完成目标考核要求。</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环境运行管理检查情况：抽查</w:t>
            </w:r>
            <w:r>
              <w:rPr>
                <w:rFonts w:hint="eastAsia" w:ascii="宋体" w:hAnsi="宋体" w:eastAsia="宋体" w:cs="宋体"/>
                <w:sz w:val="24"/>
                <w:szCs w:val="24"/>
                <w:lang w:val="en-US" w:eastAsia="zh-CN"/>
              </w:rPr>
              <w:t>2022.3.26、2022.5.21、2022.7.5、2022.9.8</w:t>
            </w:r>
            <w:r>
              <w:rPr>
                <w:rFonts w:hint="eastAsia" w:ascii="宋体" w:hAnsi="宋体" w:eastAsia="宋体" w:cs="宋体"/>
                <w:sz w:val="24"/>
                <w:szCs w:val="24"/>
              </w:rPr>
              <w:t>管理检查记录，主控部门：</w:t>
            </w:r>
            <w:r>
              <w:rPr>
                <w:rFonts w:hint="eastAsia" w:ascii="宋体" w:hAnsi="宋体" w:eastAsia="宋体" w:cs="宋体"/>
                <w:sz w:val="24"/>
                <w:szCs w:val="24"/>
                <w:lang w:val="en-US" w:eastAsia="zh-CN"/>
              </w:rPr>
              <w:t>综合</w:t>
            </w:r>
            <w:r>
              <w:rPr>
                <w:rFonts w:hint="eastAsia" w:ascii="宋体" w:hAnsi="宋体" w:eastAsia="宋体" w:cs="宋体"/>
                <w:sz w:val="24"/>
                <w:szCs w:val="24"/>
                <w:lang w:eastAsia="zh-CN"/>
              </w:rPr>
              <w:t>部</w:t>
            </w:r>
            <w:r>
              <w:rPr>
                <w:rFonts w:hint="eastAsia" w:ascii="宋体" w:hAnsi="宋体" w:eastAsia="宋体" w:cs="宋体"/>
                <w:sz w:val="24"/>
                <w:szCs w:val="24"/>
              </w:rPr>
              <w:t>，</w:t>
            </w:r>
          </w:p>
          <w:p>
            <w:pPr>
              <w:spacing w:line="360" w:lineRule="auto"/>
              <w:ind w:firstLine="480" w:firstLineChars="200"/>
              <w:rPr>
                <w:rFonts w:hint="eastAsia" w:ascii="宋体" w:hAnsi="宋体" w:eastAsia="宋体" w:cs="宋体"/>
                <w:color w:val="FF0000"/>
                <w:sz w:val="24"/>
                <w:szCs w:val="24"/>
              </w:rPr>
            </w:pPr>
            <w:r>
              <w:rPr>
                <w:rFonts w:hint="eastAsia" w:ascii="宋体" w:hAnsi="宋体" w:eastAsia="宋体" w:cs="宋体"/>
                <w:sz w:val="24"/>
                <w:szCs w:val="24"/>
              </w:rPr>
              <w:t>检查人：</w:t>
            </w:r>
            <w:r>
              <w:rPr>
                <w:rFonts w:hint="eastAsia" w:ascii="宋体" w:hAnsi="宋体" w:eastAsia="宋体" w:cs="宋体"/>
                <w:sz w:val="24"/>
                <w:szCs w:val="24"/>
                <w:lang w:val="en-US" w:eastAsia="zh-CN"/>
              </w:rPr>
              <w:t>康洁</w:t>
            </w:r>
            <w:r>
              <w:rPr>
                <w:rFonts w:hint="eastAsia" w:ascii="宋体" w:hAnsi="宋体" w:eastAsia="宋体" w:cs="宋体"/>
                <w:sz w:val="24"/>
                <w:szCs w:val="24"/>
              </w:rPr>
              <w:t>，对固废收集、节约能源等方面进行检查、劳保用品发放、安全管理进行检查，一切正常。</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查公司每月为员工购买有养老等保险，提供保险单。</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外部对公司环境和安全管理要求一般口头交流；对供应商及客户等相关方有“相关方告知书”等。</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目前未发现公司出现违规现象。无被动性绩效的监视和测量。</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公司不需要对环境影响的运行的关键特性和职业健康安全绩效进行监测和测量的设备。</w:t>
            </w:r>
          </w:p>
        </w:tc>
        <w:tc>
          <w:tcPr>
            <w:tcW w:w="753" w:type="dxa"/>
          </w:tcPr>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260" w:type="dxa"/>
          </w:tcPr>
          <w:p>
            <w:pPr>
              <w:spacing w:line="360" w:lineRule="auto"/>
              <w:rPr>
                <w:rFonts w:hint="eastAsia" w:ascii="宋体" w:hAnsi="宋体" w:eastAsia="宋体" w:cs="宋体"/>
                <w:sz w:val="24"/>
                <w:szCs w:val="24"/>
              </w:rPr>
            </w:pPr>
            <w:r>
              <w:rPr>
                <w:rFonts w:hint="eastAsia" w:ascii="宋体" w:hAnsi="宋体" w:eastAsia="宋体" w:cs="宋体"/>
                <w:sz w:val="24"/>
                <w:szCs w:val="24"/>
              </w:rPr>
              <w:t>管理评审</w:t>
            </w:r>
          </w:p>
        </w:tc>
        <w:tc>
          <w:tcPr>
            <w:tcW w:w="1311" w:type="dxa"/>
          </w:tcPr>
          <w:p>
            <w:pPr>
              <w:spacing w:line="360" w:lineRule="auto"/>
              <w:rPr>
                <w:rFonts w:hint="eastAsia" w:ascii="宋体" w:hAnsi="宋体" w:eastAsia="宋体" w:cs="宋体"/>
                <w:sz w:val="24"/>
                <w:szCs w:val="24"/>
              </w:rPr>
            </w:pPr>
            <w:r>
              <w:rPr>
                <w:rFonts w:hint="eastAsia" w:ascii="宋体" w:hAnsi="宋体" w:eastAsia="宋体" w:cs="宋体"/>
                <w:sz w:val="24"/>
                <w:szCs w:val="24"/>
              </w:rPr>
              <w:t>E</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9.3</w:t>
            </w:r>
          </w:p>
        </w:tc>
        <w:tc>
          <w:tcPr>
            <w:tcW w:w="11385" w:type="dxa"/>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公司依据：GB/T24001-2016标准进行管理评审。</w:t>
            </w:r>
          </w:p>
          <w:p>
            <w:pPr>
              <w:spacing w:line="360" w:lineRule="auto"/>
              <w:rPr>
                <w:rFonts w:hint="eastAsia" w:ascii="宋体" w:hAnsi="宋体" w:eastAsia="宋体" w:cs="宋体"/>
                <w:sz w:val="24"/>
                <w:szCs w:val="24"/>
              </w:rPr>
            </w:pPr>
            <w:r>
              <w:rPr>
                <w:rFonts w:hint="eastAsia" w:ascii="宋体" w:hAnsi="宋体" w:eastAsia="宋体" w:cs="宋体"/>
                <w:sz w:val="24"/>
                <w:szCs w:val="24"/>
              </w:rPr>
              <w:t>目前按标准要求平稳运行，至今暂无变更情况发生。</w:t>
            </w:r>
          </w:p>
          <w:p>
            <w:pPr>
              <w:spacing w:line="360" w:lineRule="auto"/>
              <w:rPr>
                <w:rFonts w:hint="eastAsia" w:ascii="宋体" w:hAnsi="宋体" w:eastAsia="宋体" w:cs="宋体"/>
                <w:sz w:val="24"/>
                <w:szCs w:val="24"/>
              </w:rPr>
            </w:pPr>
            <w:r>
              <w:rPr>
                <w:rFonts w:hint="eastAsia" w:ascii="宋体" w:hAnsi="宋体" w:eastAsia="宋体" w:cs="宋体"/>
                <w:sz w:val="24"/>
                <w:szCs w:val="24"/>
              </w:rPr>
              <w:t>查阅公司管理评审资料：</w:t>
            </w:r>
          </w:p>
          <w:p>
            <w:pPr>
              <w:spacing w:line="360" w:lineRule="auto"/>
              <w:rPr>
                <w:rFonts w:hint="eastAsia" w:ascii="宋体" w:hAnsi="宋体" w:eastAsia="宋体" w:cs="宋体"/>
                <w:sz w:val="24"/>
                <w:szCs w:val="24"/>
              </w:rPr>
            </w:pPr>
            <w:r>
              <w:rPr>
                <w:rFonts w:hint="eastAsia" w:ascii="宋体" w:hAnsi="宋体" w:eastAsia="宋体" w:cs="宋体"/>
                <w:sz w:val="24"/>
                <w:szCs w:val="24"/>
              </w:rPr>
              <w:t>一、管理评审计划，评审时间：</w:t>
            </w:r>
            <w:r>
              <w:rPr>
                <w:rFonts w:hint="eastAsia" w:ascii="宋体" w:hAnsi="宋体" w:eastAsia="宋体" w:cs="宋体"/>
                <w:sz w:val="24"/>
                <w:szCs w:val="24"/>
                <w:lang w:eastAsia="zh-CN"/>
              </w:rPr>
              <w:t>202</w:t>
            </w:r>
            <w:r>
              <w:rPr>
                <w:rFonts w:hint="eastAsia" w:ascii="宋体" w:hAnsi="宋体" w:eastAsia="宋体" w:cs="宋体"/>
                <w:sz w:val="24"/>
                <w:szCs w:val="24"/>
                <w:lang w:val="en-US" w:eastAsia="zh-CN"/>
              </w:rPr>
              <w:t>2</w:t>
            </w:r>
            <w:r>
              <w:rPr>
                <w:rFonts w:hint="eastAsia" w:ascii="宋体" w:hAnsi="宋体" w:eastAsia="宋体" w:cs="宋体"/>
                <w:sz w:val="24"/>
                <w:szCs w:val="24"/>
              </w:rPr>
              <w:t>年</w:t>
            </w:r>
            <w:r>
              <w:rPr>
                <w:rFonts w:hint="eastAsia" w:ascii="宋体" w:hAnsi="宋体" w:eastAsia="宋体" w:cs="宋体"/>
                <w:sz w:val="24"/>
                <w:szCs w:val="24"/>
                <w:lang w:val="en-US" w:eastAsia="zh-CN"/>
              </w:rPr>
              <w:t>8</w:t>
            </w:r>
            <w:r>
              <w:rPr>
                <w:rFonts w:hint="eastAsia" w:ascii="宋体" w:hAnsi="宋体" w:eastAsia="宋体" w:cs="宋体"/>
                <w:sz w:val="24"/>
                <w:szCs w:val="24"/>
              </w:rPr>
              <w:t>月</w:t>
            </w:r>
            <w:r>
              <w:rPr>
                <w:rFonts w:hint="eastAsia" w:ascii="宋体" w:hAnsi="宋体" w:eastAsia="宋体" w:cs="宋体"/>
                <w:sz w:val="24"/>
                <w:szCs w:val="24"/>
                <w:lang w:val="en-US" w:eastAsia="zh-CN"/>
              </w:rPr>
              <w:t>15</w:t>
            </w:r>
            <w:r>
              <w:rPr>
                <w:rFonts w:hint="eastAsia" w:ascii="宋体" w:hAnsi="宋体" w:eastAsia="宋体" w:cs="宋体"/>
                <w:sz w:val="24"/>
                <w:szCs w:val="24"/>
              </w:rPr>
              <w:t>日评审方式：会议评审</w:t>
            </w:r>
          </w:p>
          <w:p>
            <w:pPr>
              <w:spacing w:line="360" w:lineRule="auto"/>
              <w:rPr>
                <w:rFonts w:hint="eastAsia" w:ascii="宋体" w:hAnsi="宋体" w:eastAsia="宋体" w:cs="宋体"/>
                <w:sz w:val="24"/>
                <w:szCs w:val="24"/>
              </w:rPr>
            </w:pPr>
            <w:r>
              <w:rPr>
                <w:rFonts w:hint="eastAsia" w:ascii="宋体" w:hAnsi="宋体" w:eastAsia="宋体" w:cs="宋体"/>
                <w:sz w:val="24"/>
                <w:szCs w:val="24"/>
              </w:rPr>
              <w:t>参加人员：总经理王长江、管理者代表</w:t>
            </w:r>
            <w:r>
              <w:rPr>
                <w:rFonts w:hint="eastAsia" w:ascii="宋体" w:hAnsi="宋体" w:eastAsia="宋体" w:cs="宋体"/>
                <w:kern w:val="0"/>
                <w:sz w:val="24"/>
                <w:szCs w:val="24"/>
                <w:lang w:eastAsia="zh-CN"/>
              </w:rPr>
              <w:t xml:space="preserve">魏良辰 </w:t>
            </w:r>
            <w:r>
              <w:rPr>
                <w:rFonts w:hint="eastAsia" w:ascii="宋体" w:hAnsi="宋体" w:eastAsia="宋体" w:cs="宋体"/>
                <w:sz w:val="24"/>
                <w:szCs w:val="24"/>
              </w:rPr>
              <w:t>、其他人员有：</w:t>
            </w:r>
            <w:r>
              <w:rPr>
                <w:rFonts w:hint="eastAsia" w:ascii="宋体" w:hAnsi="宋体" w:eastAsia="宋体" w:cs="宋体"/>
                <w:sz w:val="24"/>
                <w:szCs w:val="24"/>
                <w:lang w:val="en-US" w:eastAsia="zh-CN"/>
              </w:rPr>
              <w:t>康洁</w:t>
            </w:r>
            <w:r>
              <w:rPr>
                <w:rFonts w:hint="eastAsia" w:ascii="宋体" w:hAnsi="宋体" w:eastAsia="宋体" w:cs="宋体"/>
                <w:sz w:val="24"/>
                <w:szCs w:val="24"/>
              </w:rPr>
              <w:t>、</w:t>
            </w:r>
            <w:r>
              <w:rPr>
                <w:rFonts w:hint="eastAsia" w:ascii="宋体" w:hAnsi="宋体" w:eastAsia="宋体" w:cs="宋体"/>
                <w:sz w:val="24"/>
                <w:szCs w:val="24"/>
                <w:lang w:val="en-US" w:eastAsia="zh-CN"/>
              </w:rPr>
              <w:t>周晓梅、梁娟</w:t>
            </w:r>
            <w:r>
              <w:rPr>
                <w:rFonts w:hint="eastAsia" w:ascii="宋体" w:hAnsi="宋体" w:eastAsia="宋体" w:cs="宋体"/>
                <w:sz w:val="24"/>
                <w:szCs w:val="24"/>
              </w:rPr>
              <w:t>等。计划中明确了评审内容和资料准备要求。</w:t>
            </w:r>
          </w:p>
          <w:p>
            <w:pPr>
              <w:spacing w:line="360" w:lineRule="auto"/>
              <w:rPr>
                <w:rFonts w:hint="eastAsia" w:ascii="宋体" w:hAnsi="宋体" w:eastAsia="宋体" w:cs="宋体"/>
                <w:sz w:val="24"/>
                <w:szCs w:val="24"/>
              </w:rPr>
            </w:pPr>
            <w:r>
              <w:rPr>
                <w:rFonts w:hint="eastAsia" w:ascii="宋体" w:hAnsi="宋体" w:eastAsia="宋体" w:cs="宋体"/>
                <w:sz w:val="24"/>
                <w:szCs w:val="24"/>
              </w:rPr>
              <w:t>二、管理评审输入：</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方针目标适宜性、目标的实现程度、体系策划和运行情况、可能的变更、外部供方的绩效、内审情况、纠正措施完成情况，应对风险和机遇所采取措施的有效性以及改进的建议等等。</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以上内容可通过会上口头发言及工作总结、汇报等形式体现。</w:t>
            </w:r>
          </w:p>
          <w:p>
            <w:pPr>
              <w:spacing w:line="360" w:lineRule="auto"/>
              <w:rPr>
                <w:rFonts w:hint="eastAsia" w:ascii="宋体" w:hAnsi="宋体" w:eastAsia="宋体" w:cs="宋体"/>
                <w:sz w:val="24"/>
                <w:szCs w:val="24"/>
              </w:rPr>
            </w:pPr>
            <w:r>
              <w:rPr>
                <w:rFonts w:hint="eastAsia" w:ascii="宋体" w:hAnsi="宋体" w:eastAsia="宋体" w:cs="宋体"/>
                <w:sz w:val="24"/>
                <w:szCs w:val="24"/>
              </w:rPr>
              <w:t>三、查看“管理评审报告”，报告中对本次管理评审做了总结，评价了公司建立、运行管理体系的效果。</w:t>
            </w:r>
          </w:p>
          <w:p>
            <w:pPr>
              <w:spacing w:line="360" w:lineRule="auto"/>
              <w:rPr>
                <w:rFonts w:hint="eastAsia" w:ascii="宋体" w:hAnsi="宋体" w:eastAsia="宋体" w:cs="宋体"/>
                <w:sz w:val="24"/>
                <w:szCs w:val="24"/>
              </w:rPr>
            </w:pPr>
            <w:r>
              <w:rPr>
                <w:rFonts w:hint="eastAsia" w:ascii="宋体" w:hAnsi="宋体" w:eastAsia="宋体" w:cs="宋体"/>
                <w:sz w:val="24"/>
                <w:szCs w:val="24"/>
              </w:rPr>
              <w:t>四、管理评审输出/评审结论：</w:t>
            </w:r>
          </w:p>
          <w:p>
            <w:pPr>
              <w:spacing w:line="360" w:lineRule="auto"/>
              <w:rPr>
                <w:rFonts w:hint="eastAsia" w:ascii="宋体" w:hAnsi="宋体" w:eastAsia="宋体" w:cs="宋体"/>
                <w:sz w:val="24"/>
                <w:szCs w:val="24"/>
              </w:rPr>
            </w:pPr>
            <w:r>
              <w:rPr>
                <w:rFonts w:hint="eastAsia" w:ascii="宋体" w:hAnsi="宋体" w:eastAsia="宋体" w:cs="宋体"/>
                <w:sz w:val="24"/>
                <w:szCs w:val="24"/>
              </w:rPr>
              <w:t>评审会议认为：公司的环境方针和环境目标、指标及环境管理体系符合标准的要求和公司的实际情况，是适宜的；各过程得到识别和规定，过程的开展是充分的，机构设置、职责分配、资源配置基本合理；实施体系标准以来，公司的环境控制和顾客满意程度得以提高，环境管理体系总体上来说是有效的。存在的问题和薄弱环节应该持续进行改进，以确保公司环境管理体系的适宜性、充分性和有效性。</w:t>
            </w:r>
          </w:p>
          <w:p>
            <w:pPr>
              <w:spacing w:line="360" w:lineRule="auto"/>
              <w:rPr>
                <w:rFonts w:hint="eastAsia" w:ascii="宋体" w:hAnsi="宋体" w:eastAsia="宋体" w:cs="宋体"/>
                <w:sz w:val="24"/>
                <w:szCs w:val="24"/>
              </w:rPr>
            </w:pPr>
            <w:r>
              <w:rPr>
                <w:rFonts w:hint="eastAsia" w:ascii="宋体" w:hAnsi="宋体" w:eastAsia="宋体" w:cs="宋体"/>
                <w:sz w:val="24"/>
                <w:szCs w:val="24"/>
              </w:rPr>
              <w:t>管理评审改进决议：</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在</w:t>
            </w:r>
            <w:r>
              <w:rPr>
                <w:rFonts w:hint="eastAsia" w:ascii="宋体" w:hAnsi="宋体" w:eastAsia="宋体" w:cs="宋体"/>
                <w:color w:val="000000"/>
                <w:sz w:val="24"/>
                <w:szCs w:val="24"/>
              </w:rPr>
              <w:t>环境</w:t>
            </w:r>
            <w:r>
              <w:rPr>
                <w:rFonts w:hint="eastAsia" w:ascii="宋体" w:hAnsi="宋体" w:eastAsia="宋体" w:cs="宋体"/>
                <w:sz w:val="24"/>
                <w:szCs w:val="24"/>
              </w:rPr>
              <w:t>管理体系推行运作时，管理体系推行还存在不少待改进之处，主要有以下几点：</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color w:val="000000"/>
                <w:sz w:val="24"/>
                <w:szCs w:val="24"/>
              </w:rPr>
              <w:t>环境信息的交流开展得不充分，</w:t>
            </w:r>
            <w:r>
              <w:rPr>
                <w:rFonts w:hint="eastAsia" w:ascii="宋体" w:hAnsi="宋体" w:eastAsia="宋体" w:cs="宋体"/>
                <w:color w:val="000000"/>
                <w:sz w:val="24"/>
                <w:szCs w:val="24"/>
                <w:lang w:val="en-US" w:eastAsia="zh-CN"/>
              </w:rPr>
              <w:t>综合</w:t>
            </w:r>
            <w:r>
              <w:rPr>
                <w:rFonts w:hint="eastAsia" w:ascii="宋体" w:hAnsi="宋体" w:eastAsia="宋体" w:cs="宋体"/>
                <w:color w:val="000000"/>
                <w:sz w:val="24"/>
                <w:szCs w:val="24"/>
              </w:rPr>
              <w:t>部应加强这方面的工作</w:t>
            </w:r>
            <w:r>
              <w:rPr>
                <w:rFonts w:hint="eastAsia" w:ascii="宋体" w:hAnsi="宋体" w:eastAsia="宋体" w:cs="宋体"/>
                <w:sz w:val="24"/>
                <w:szCs w:val="24"/>
              </w:rPr>
              <w:t>。计划</w:t>
            </w:r>
            <w:r>
              <w:rPr>
                <w:rFonts w:hint="eastAsia" w:ascii="宋体" w:hAnsi="宋体" w:eastAsia="宋体" w:cs="宋体"/>
                <w:sz w:val="24"/>
                <w:szCs w:val="24"/>
                <w:lang w:eastAsia="zh-CN"/>
              </w:rPr>
              <w:t>202</w:t>
            </w:r>
            <w:r>
              <w:rPr>
                <w:rFonts w:hint="eastAsia" w:ascii="宋体" w:hAnsi="宋体" w:eastAsia="宋体" w:cs="宋体"/>
                <w:sz w:val="24"/>
                <w:szCs w:val="24"/>
                <w:lang w:val="en-US" w:eastAsia="zh-CN"/>
              </w:rPr>
              <w:t>2</w:t>
            </w:r>
            <w:r>
              <w:rPr>
                <w:rFonts w:hint="eastAsia" w:ascii="宋体" w:hAnsi="宋体" w:eastAsia="宋体" w:cs="宋体"/>
                <w:sz w:val="24"/>
                <w:szCs w:val="24"/>
              </w:rPr>
              <w:t>年12月底前完成，下次审核关注。</w:t>
            </w:r>
          </w:p>
        </w:tc>
        <w:tc>
          <w:tcPr>
            <w:tcW w:w="753" w:type="dxa"/>
          </w:tcPr>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trPr>
        <w:tc>
          <w:tcPr>
            <w:tcW w:w="1260" w:type="dxa"/>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体系的运行现状及改进的要求</w:t>
            </w:r>
          </w:p>
        </w:tc>
        <w:tc>
          <w:tcPr>
            <w:tcW w:w="1311" w:type="dxa"/>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E</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10.1</w:t>
            </w:r>
          </w:p>
        </w:tc>
        <w:tc>
          <w:tcPr>
            <w:tcW w:w="11385" w:type="dxa"/>
            <w:vAlign w:val="center"/>
          </w:tcPr>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总经理通过建立管理方针和目标，并鼓励员工提合理化建议，营造了一个激励改进的氛围，通过管理目标的建立与考核，明确了改进、努力的方向。</w:t>
            </w:r>
          </w:p>
          <w:p>
            <w:pPr>
              <w:spacing w:line="360" w:lineRule="auto"/>
              <w:ind w:left="420" w:leftChars="200"/>
              <w:rPr>
                <w:rFonts w:hint="eastAsia" w:ascii="宋体" w:hAnsi="宋体" w:eastAsia="宋体" w:cs="宋体"/>
                <w:sz w:val="24"/>
                <w:szCs w:val="24"/>
              </w:rPr>
            </w:pPr>
            <w:r>
              <w:rPr>
                <w:rFonts w:hint="eastAsia" w:ascii="宋体" w:hAnsi="宋体" w:eastAsia="宋体" w:cs="宋体"/>
                <w:sz w:val="24"/>
                <w:szCs w:val="24"/>
              </w:rPr>
              <w:t>企业自体系建立以来，通过内审的改进、管理评审；纠正措施的实施、顾客满意度调查等措施，采取了具体的改进措施。</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通过提高销售服务以满足需求，通过内审、管理评审、数据分析与实施纠正和纠正措施，建立一个自我完善、持续改进的机制，不断改进体系绩效和有效性。</w:t>
            </w:r>
          </w:p>
          <w:p>
            <w:pPr>
              <w:spacing w:line="360" w:lineRule="auto"/>
              <w:ind w:left="420" w:leftChars="200"/>
              <w:rPr>
                <w:rFonts w:hint="eastAsia" w:ascii="宋体" w:hAnsi="宋体" w:eastAsia="宋体" w:cs="宋体"/>
                <w:sz w:val="24"/>
                <w:szCs w:val="24"/>
              </w:rPr>
            </w:pPr>
            <w:r>
              <w:rPr>
                <w:rFonts w:hint="eastAsia" w:ascii="宋体" w:hAnsi="宋体" w:eastAsia="宋体" w:cs="宋体"/>
                <w:sz w:val="24"/>
                <w:szCs w:val="24"/>
              </w:rPr>
              <w:t>基本符合要求。</w:t>
            </w:r>
          </w:p>
        </w:tc>
        <w:tc>
          <w:tcPr>
            <w:tcW w:w="753" w:type="dxa"/>
          </w:tcPr>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1260" w:type="dxa"/>
          </w:tcPr>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r>
              <w:rPr>
                <w:rFonts w:hint="eastAsia" w:ascii="宋体" w:hAnsi="宋体" w:eastAsia="宋体" w:cs="宋体"/>
                <w:sz w:val="24"/>
                <w:szCs w:val="24"/>
              </w:rPr>
              <w:t>持续改进</w:t>
            </w:r>
          </w:p>
        </w:tc>
        <w:tc>
          <w:tcPr>
            <w:tcW w:w="1311" w:type="dxa"/>
          </w:tcPr>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r>
              <w:rPr>
                <w:rFonts w:hint="eastAsia" w:ascii="宋体" w:hAnsi="宋体" w:eastAsia="宋体" w:cs="宋体"/>
                <w:sz w:val="24"/>
                <w:szCs w:val="24"/>
              </w:rPr>
              <w:t>E</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10.3</w:t>
            </w:r>
          </w:p>
        </w:tc>
        <w:tc>
          <w:tcPr>
            <w:tcW w:w="11385" w:type="dxa"/>
            <w:vAlign w:val="center"/>
          </w:tcPr>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公司制定《</w:t>
            </w:r>
            <w:r>
              <w:rPr>
                <w:rFonts w:hint="eastAsia" w:ascii="宋体" w:hAnsi="宋体" w:eastAsia="宋体" w:cs="宋体"/>
                <w:sz w:val="24"/>
                <w:szCs w:val="24"/>
                <w:lang w:eastAsia="zh-CN"/>
              </w:rPr>
              <w:t>不符合和纠正措施程序</w:t>
            </w:r>
            <w:r>
              <w:rPr>
                <w:rFonts w:hint="eastAsia" w:ascii="宋体" w:hAnsi="宋体" w:eastAsia="宋体" w:cs="宋体"/>
                <w:sz w:val="24"/>
                <w:szCs w:val="24"/>
              </w:rPr>
              <w:t>》，规定了纠正措施的来源,明确了对不合格项应进行原因分析,制定纠正措施计划,实施跟踪验证,确保所采取 的纠正措施满足预期要求。</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内审中发现的不符合项已经采取纠正措施，整改完毕且有效。</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通过交谈，基本能清楚纠正和预防措施的控制要求。改进的示例包括纠正、纠正措施、持续改进。</w:t>
            </w:r>
          </w:p>
          <w:p>
            <w:pPr>
              <w:spacing w:line="360" w:lineRule="auto"/>
              <w:rPr>
                <w:rFonts w:hint="eastAsia" w:ascii="宋体" w:hAnsi="宋体" w:eastAsia="宋体" w:cs="宋体"/>
                <w:sz w:val="24"/>
                <w:szCs w:val="24"/>
              </w:rPr>
            </w:pPr>
            <w:r>
              <w:rPr>
                <w:rFonts w:hint="eastAsia" w:ascii="宋体" w:hAnsi="宋体" w:eastAsia="宋体" w:cs="宋体"/>
                <w:sz w:val="24"/>
                <w:szCs w:val="24"/>
              </w:rPr>
              <w:t>根据不同过程、不同产品和不同要求，采取不同的方法进行监视、测量和分析。无其他不符合发生。</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公司利用质量方针、目标、内审和外审、数据分析、纠正和预防措施以及管理评审，识别任何改进的机会，持续改进质量管理体系的适宜性、充分性和有效性。</w:t>
            </w:r>
          </w:p>
        </w:tc>
        <w:tc>
          <w:tcPr>
            <w:tcW w:w="753" w:type="dxa"/>
          </w:tcPr>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1260" w:type="dxa"/>
          </w:tcPr>
          <w:p>
            <w:pPr>
              <w:spacing w:line="360" w:lineRule="auto"/>
              <w:rPr>
                <w:rFonts w:hint="eastAsia" w:ascii="宋体" w:hAnsi="宋体" w:eastAsia="宋体" w:cs="宋体"/>
                <w:sz w:val="24"/>
                <w:szCs w:val="24"/>
              </w:rPr>
            </w:pPr>
            <w:r>
              <w:rPr>
                <w:rFonts w:hint="eastAsia" w:ascii="宋体" w:hAnsi="宋体" w:eastAsia="宋体" w:cs="宋体"/>
                <w:sz w:val="24"/>
                <w:szCs w:val="24"/>
              </w:rPr>
              <w:t>资质验证</w:t>
            </w:r>
          </w:p>
        </w:tc>
        <w:tc>
          <w:tcPr>
            <w:tcW w:w="1311" w:type="dxa"/>
          </w:tcPr>
          <w:p>
            <w:pPr>
              <w:spacing w:line="360" w:lineRule="auto"/>
              <w:rPr>
                <w:rFonts w:hint="eastAsia" w:ascii="宋体" w:hAnsi="宋体" w:eastAsia="宋体" w:cs="宋体"/>
                <w:sz w:val="24"/>
                <w:szCs w:val="24"/>
              </w:rPr>
            </w:pPr>
          </w:p>
        </w:tc>
        <w:tc>
          <w:tcPr>
            <w:tcW w:w="11385" w:type="dxa"/>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资质验证  企业提供营业执照,企业资质在范围内(见附件)</w:t>
            </w:r>
          </w:p>
          <w:p>
            <w:pPr>
              <w:spacing w:line="360" w:lineRule="auto"/>
              <w:rPr>
                <w:rFonts w:hint="eastAsia" w:ascii="宋体" w:hAnsi="宋体" w:eastAsia="宋体" w:cs="宋体"/>
                <w:sz w:val="24"/>
                <w:szCs w:val="24"/>
              </w:rPr>
            </w:pPr>
            <w:r>
              <w:rPr>
                <w:rFonts w:hint="eastAsia" w:ascii="宋体" w:hAnsi="宋体" w:eastAsia="宋体" w:cs="宋体"/>
                <w:sz w:val="24"/>
                <w:szCs w:val="24"/>
              </w:rPr>
              <w:t>投诉或事故:无</w:t>
            </w:r>
          </w:p>
          <w:p>
            <w:pPr>
              <w:spacing w:line="360" w:lineRule="auto"/>
              <w:rPr>
                <w:rFonts w:hint="eastAsia" w:ascii="宋体" w:hAnsi="宋体" w:eastAsia="宋体" w:cs="宋体"/>
                <w:sz w:val="24"/>
                <w:szCs w:val="24"/>
              </w:rPr>
            </w:pPr>
            <w:r>
              <w:rPr>
                <w:rFonts w:hint="eastAsia" w:ascii="宋体" w:hAnsi="宋体" w:eastAsia="宋体" w:cs="宋体"/>
                <w:sz w:val="24"/>
                <w:szCs w:val="24"/>
              </w:rPr>
              <w:t>政府主管部门监督抽查情况:无</w:t>
            </w:r>
          </w:p>
        </w:tc>
        <w:tc>
          <w:tcPr>
            <w:tcW w:w="753" w:type="dxa"/>
          </w:tcPr>
          <w:p>
            <w:pPr>
              <w:spacing w:line="360" w:lineRule="auto"/>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1260" w:type="dxa"/>
            <w:vAlign w:val="center"/>
          </w:tcPr>
          <w:p>
            <w:pPr>
              <w:rPr>
                <w:rFonts w:hint="eastAsia" w:ascii="宋体" w:hAnsi="宋体" w:eastAsia="宋体" w:cs="宋体"/>
                <w:sz w:val="24"/>
                <w:szCs w:val="24"/>
              </w:rPr>
            </w:pPr>
            <w:r>
              <w:rPr>
                <w:rFonts w:hint="eastAsia" w:ascii="宋体" w:hAnsi="宋体" w:eastAsia="宋体" w:cs="宋体"/>
                <w:sz w:val="24"/>
                <w:szCs w:val="24"/>
              </w:rPr>
              <w:t>对</w:t>
            </w:r>
            <w:r>
              <w:rPr>
                <w:rFonts w:hint="eastAsia" w:ascii="宋体" w:hAnsi="宋体" w:eastAsia="宋体" w:cs="宋体"/>
                <w:sz w:val="24"/>
                <w:szCs w:val="24"/>
                <w:lang w:val="en-US" w:eastAsia="zh-CN"/>
              </w:rPr>
              <w:t>一阶段审核</w:t>
            </w:r>
            <w:r>
              <w:rPr>
                <w:rFonts w:hint="eastAsia" w:ascii="宋体" w:hAnsi="宋体" w:eastAsia="宋体" w:cs="宋体"/>
                <w:sz w:val="24"/>
                <w:szCs w:val="24"/>
              </w:rPr>
              <w:t>问题整改情况的确认；</w:t>
            </w:r>
          </w:p>
        </w:tc>
        <w:tc>
          <w:tcPr>
            <w:tcW w:w="1311" w:type="dxa"/>
            <w:vAlign w:val="center"/>
          </w:tcPr>
          <w:p>
            <w:pPr>
              <w:rPr>
                <w:rFonts w:hint="eastAsia" w:ascii="宋体" w:hAnsi="宋体" w:eastAsia="宋体" w:cs="宋体"/>
                <w:sz w:val="24"/>
                <w:szCs w:val="24"/>
              </w:rPr>
            </w:pPr>
          </w:p>
        </w:tc>
        <w:tc>
          <w:tcPr>
            <w:tcW w:w="11385" w:type="dxa"/>
            <w:vAlign w:val="center"/>
          </w:tcPr>
          <w:p>
            <w:pPr>
              <w:spacing w:line="360" w:lineRule="auto"/>
              <w:rPr>
                <w:rFonts w:hint="eastAsia" w:ascii="宋体" w:hAnsi="宋体" w:eastAsia="宋体" w:cs="宋体"/>
                <w:sz w:val="24"/>
                <w:szCs w:val="24"/>
              </w:rPr>
            </w:pPr>
            <w:r>
              <w:rPr>
                <w:rFonts w:hint="eastAsia" w:ascii="宋体" w:hAnsi="宋体" w:eastAsia="宋体" w:cs="宋体"/>
                <w:color w:val="000000" w:themeColor="text1"/>
                <w:sz w:val="24"/>
                <w:szCs w:val="24"/>
                <w:lang w:val="en-US" w:eastAsia="zh-CN"/>
              </w:rPr>
              <w:t>一阶段</w:t>
            </w:r>
            <w:r>
              <w:rPr>
                <w:rFonts w:hint="eastAsia" w:ascii="宋体" w:hAnsi="宋体" w:eastAsia="宋体" w:cs="宋体"/>
                <w:color w:val="000000" w:themeColor="text1"/>
                <w:sz w:val="24"/>
                <w:szCs w:val="24"/>
              </w:rPr>
              <w:t>审核时发现的问题，经现场验证已关闭，整改措施有效。</w:t>
            </w:r>
          </w:p>
        </w:tc>
        <w:tc>
          <w:tcPr>
            <w:tcW w:w="753" w:type="dxa"/>
          </w:tcPr>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1260" w:type="dxa"/>
            <w:vAlign w:val="center"/>
          </w:tcPr>
          <w:p>
            <w:pPr>
              <w:rPr>
                <w:rFonts w:hint="eastAsia" w:ascii="宋体" w:hAnsi="宋体" w:eastAsia="宋体" w:cs="宋体"/>
                <w:sz w:val="24"/>
                <w:szCs w:val="24"/>
              </w:rPr>
            </w:pPr>
            <w:r>
              <w:rPr>
                <w:rFonts w:hint="eastAsia" w:ascii="宋体" w:hAnsi="宋体" w:eastAsia="宋体" w:cs="宋体"/>
                <w:sz w:val="24"/>
                <w:szCs w:val="24"/>
              </w:rPr>
              <w:t>事故事件及起处理情况，环境安全监测情况、使用情况等</w:t>
            </w:r>
            <w:r>
              <w:rPr>
                <w:rFonts w:hint="eastAsia" w:ascii="宋体" w:hAnsi="宋体" w:eastAsia="宋体" w:cs="宋体"/>
                <w:sz w:val="24"/>
                <w:szCs w:val="24"/>
                <w:lang w:eastAsia="zh-CN"/>
              </w:rPr>
              <w:t>，</w:t>
            </w:r>
          </w:p>
        </w:tc>
        <w:tc>
          <w:tcPr>
            <w:tcW w:w="1311" w:type="dxa"/>
            <w:vAlign w:val="center"/>
          </w:tcPr>
          <w:p>
            <w:pPr>
              <w:rPr>
                <w:rFonts w:hint="eastAsia" w:ascii="宋体" w:hAnsi="宋体" w:eastAsia="宋体" w:cs="宋体"/>
                <w:sz w:val="24"/>
                <w:szCs w:val="24"/>
              </w:rPr>
            </w:pPr>
          </w:p>
        </w:tc>
        <w:tc>
          <w:tcPr>
            <w:tcW w:w="11385" w:type="dxa"/>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自公司成立以来，未受到上级主管部门有关质量、环境问题、职业健康安全的行政处罚。未发生相关方的投诉。</w:t>
            </w:r>
          </w:p>
          <w:p>
            <w:pPr>
              <w:spacing w:line="360" w:lineRule="auto"/>
              <w:rPr>
                <w:rFonts w:hint="eastAsia" w:ascii="宋体" w:hAnsi="宋体" w:eastAsia="宋体" w:cs="宋体"/>
                <w:sz w:val="24"/>
                <w:szCs w:val="24"/>
              </w:rPr>
            </w:pPr>
            <w:r>
              <w:rPr>
                <w:rFonts w:hint="eastAsia" w:ascii="宋体" w:hAnsi="宋体" w:eastAsia="宋体" w:cs="宋体"/>
                <w:sz w:val="24"/>
                <w:szCs w:val="24"/>
              </w:rPr>
              <w:t>目前没有相关行政主管部门的检查处罚，在审核现场也未发现抽查、相关方投诉等情况。</w:t>
            </w:r>
          </w:p>
          <w:p>
            <w:pPr>
              <w:pStyle w:val="2"/>
              <w:rPr>
                <w:rFonts w:hint="eastAsia" w:ascii="宋体" w:hAnsi="宋体" w:eastAsia="宋体" w:cs="宋体"/>
                <w:sz w:val="24"/>
                <w:szCs w:val="24"/>
              </w:rPr>
            </w:pPr>
            <w:r>
              <w:rPr>
                <w:rFonts w:hint="eastAsia" w:ascii="宋体" w:hAnsi="宋体" w:eastAsia="宋体" w:cs="宋体"/>
                <w:sz w:val="24"/>
                <w:szCs w:val="24"/>
                <w:lang w:val="en-US" w:eastAsia="zh-CN"/>
              </w:rPr>
              <w:t>抽查了企业在证书有效期三年内，未发现违规使用证书、标志的情况发生。</w:t>
            </w:r>
          </w:p>
        </w:tc>
        <w:tc>
          <w:tcPr>
            <w:tcW w:w="753" w:type="dxa"/>
          </w:tcPr>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Y</w:t>
            </w:r>
          </w:p>
        </w:tc>
      </w:tr>
    </w:tbl>
    <w:p>
      <w:r>
        <w:ptab w:relativeTo="margin" w:alignment="center" w:leader="none"/>
      </w:r>
    </w:p>
    <w:p/>
    <w:p>
      <w:pPr>
        <w:pStyle w:val="4"/>
      </w:pPr>
      <w:r>
        <w:rPr>
          <w:rFonts w:hint="eastAsia"/>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华文宋体">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4"/>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-76200</wp:posOffset>
          </wp:positionH>
          <wp:positionV relativeFrom="paragraph">
            <wp:posOffset>-31750</wp:posOffset>
          </wp:positionV>
          <wp:extent cx="485775" cy="485775"/>
          <wp:effectExtent l="0" t="0" r="9525" b="9525"/>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8" o:spid="_x0000_s4098" o:spt="202" type="#_x0000_t202" style="position:absolute;left:0pt;margin-left:620.4pt;margin-top:12.55pt;height:20.2pt;width:102.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ISC-B-II-12(05版）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5"/>
      <w:pBdr>
        <w:bottom w:val="none" w:color="auto" w:sz="0" w:space="0"/>
      </w:pBdr>
      <w:spacing w:line="320" w:lineRule="exact"/>
      <w:ind w:firstLine="756" w:firstLineChars="400"/>
      <w:jc w:val="left"/>
    </w:pPr>
    <w:r>
      <w:rPr>
        <w:rStyle w:val="11"/>
        <w:rFonts w:hint="default"/>
        <w:w w:val="90"/>
      </w:rPr>
      <w:t>Beijing International Standard united Certification Co.,Ltd.</w:t>
    </w:r>
  </w:p>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638A8C"/>
    <w:multiLevelType w:val="singleLevel"/>
    <w:tmpl w:val="33638A8C"/>
    <w:lvl w:ilvl="0" w:tentative="0">
      <w:start w:val="5"/>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jJhN2U4Y2Q5MGE2Mzc1MDlkNDVmNzZkYmRlMTYyYjcifQ=="/>
  </w:docVars>
  <w:rsids>
    <w:rsidRoot w:val="009973B4"/>
    <w:rsid w:val="000237F6"/>
    <w:rsid w:val="0003373A"/>
    <w:rsid w:val="001A2D7F"/>
    <w:rsid w:val="00337922"/>
    <w:rsid w:val="00340867"/>
    <w:rsid w:val="00380837"/>
    <w:rsid w:val="003A198A"/>
    <w:rsid w:val="00410914"/>
    <w:rsid w:val="00414469"/>
    <w:rsid w:val="00536930"/>
    <w:rsid w:val="00564E53"/>
    <w:rsid w:val="00644FE2"/>
    <w:rsid w:val="0067640C"/>
    <w:rsid w:val="006E678B"/>
    <w:rsid w:val="007757F3"/>
    <w:rsid w:val="007E6AEB"/>
    <w:rsid w:val="008401A5"/>
    <w:rsid w:val="00861F11"/>
    <w:rsid w:val="008973EE"/>
    <w:rsid w:val="008E5CA5"/>
    <w:rsid w:val="00971600"/>
    <w:rsid w:val="009973B4"/>
    <w:rsid w:val="009C28C1"/>
    <w:rsid w:val="009F7EED"/>
    <w:rsid w:val="00AF0AAB"/>
    <w:rsid w:val="00BF597E"/>
    <w:rsid w:val="00C51A36"/>
    <w:rsid w:val="00C55228"/>
    <w:rsid w:val="00CE315A"/>
    <w:rsid w:val="00CE7B89"/>
    <w:rsid w:val="00CF45EE"/>
    <w:rsid w:val="00D06F59"/>
    <w:rsid w:val="00D8388C"/>
    <w:rsid w:val="00EB0164"/>
    <w:rsid w:val="00ED0F62"/>
    <w:rsid w:val="00FB6645"/>
    <w:rsid w:val="02561596"/>
    <w:rsid w:val="02905FAB"/>
    <w:rsid w:val="03056749"/>
    <w:rsid w:val="03516B68"/>
    <w:rsid w:val="05072AD8"/>
    <w:rsid w:val="051B12D0"/>
    <w:rsid w:val="05301C9E"/>
    <w:rsid w:val="059A554E"/>
    <w:rsid w:val="075B691E"/>
    <w:rsid w:val="077424A2"/>
    <w:rsid w:val="07D05C90"/>
    <w:rsid w:val="080F49BC"/>
    <w:rsid w:val="08AB2D38"/>
    <w:rsid w:val="08B35B8F"/>
    <w:rsid w:val="0A733822"/>
    <w:rsid w:val="0A76049B"/>
    <w:rsid w:val="0AA063EB"/>
    <w:rsid w:val="0ACF24C8"/>
    <w:rsid w:val="0BC016C1"/>
    <w:rsid w:val="0D822467"/>
    <w:rsid w:val="0DB53049"/>
    <w:rsid w:val="0EB70AFB"/>
    <w:rsid w:val="0EE47261"/>
    <w:rsid w:val="0F016E6A"/>
    <w:rsid w:val="0F4C3CF6"/>
    <w:rsid w:val="0F7A3E4E"/>
    <w:rsid w:val="0FAE6A3F"/>
    <w:rsid w:val="103535C8"/>
    <w:rsid w:val="108219C2"/>
    <w:rsid w:val="11027F34"/>
    <w:rsid w:val="111E0625"/>
    <w:rsid w:val="11612D9B"/>
    <w:rsid w:val="1178096B"/>
    <w:rsid w:val="117E03E3"/>
    <w:rsid w:val="11DD2155"/>
    <w:rsid w:val="1281369B"/>
    <w:rsid w:val="12866648"/>
    <w:rsid w:val="137C4892"/>
    <w:rsid w:val="143B3242"/>
    <w:rsid w:val="14E704E5"/>
    <w:rsid w:val="14EF4369"/>
    <w:rsid w:val="1506722E"/>
    <w:rsid w:val="156B5C0B"/>
    <w:rsid w:val="15F242B8"/>
    <w:rsid w:val="16570580"/>
    <w:rsid w:val="16A161AD"/>
    <w:rsid w:val="17905CED"/>
    <w:rsid w:val="18314AE8"/>
    <w:rsid w:val="189B757B"/>
    <w:rsid w:val="1A3D625A"/>
    <w:rsid w:val="1AE63B2D"/>
    <w:rsid w:val="1D8955CB"/>
    <w:rsid w:val="1DD02468"/>
    <w:rsid w:val="1E4B58A2"/>
    <w:rsid w:val="1F7B12A5"/>
    <w:rsid w:val="1F8F7BF5"/>
    <w:rsid w:val="2006717B"/>
    <w:rsid w:val="202A1006"/>
    <w:rsid w:val="20835883"/>
    <w:rsid w:val="214E67BA"/>
    <w:rsid w:val="22C86ECF"/>
    <w:rsid w:val="23250882"/>
    <w:rsid w:val="23277943"/>
    <w:rsid w:val="23B83E1D"/>
    <w:rsid w:val="23C546A2"/>
    <w:rsid w:val="24105D3D"/>
    <w:rsid w:val="24402D36"/>
    <w:rsid w:val="24975D3F"/>
    <w:rsid w:val="24A15322"/>
    <w:rsid w:val="254501C0"/>
    <w:rsid w:val="26B62FAA"/>
    <w:rsid w:val="26E84B39"/>
    <w:rsid w:val="290A2CCA"/>
    <w:rsid w:val="2924107C"/>
    <w:rsid w:val="29966FCF"/>
    <w:rsid w:val="29F41280"/>
    <w:rsid w:val="29F5053A"/>
    <w:rsid w:val="2A877CA2"/>
    <w:rsid w:val="2AF56B7B"/>
    <w:rsid w:val="2B18314B"/>
    <w:rsid w:val="2B986BF5"/>
    <w:rsid w:val="2C154BC2"/>
    <w:rsid w:val="2C2758D3"/>
    <w:rsid w:val="2C7350E0"/>
    <w:rsid w:val="2D9C4FD5"/>
    <w:rsid w:val="2FEA3FBD"/>
    <w:rsid w:val="2FF63FA8"/>
    <w:rsid w:val="30041147"/>
    <w:rsid w:val="30B21281"/>
    <w:rsid w:val="32445E5A"/>
    <w:rsid w:val="32847649"/>
    <w:rsid w:val="334D0890"/>
    <w:rsid w:val="33ED121E"/>
    <w:rsid w:val="341D4CD5"/>
    <w:rsid w:val="34327602"/>
    <w:rsid w:val="34A61CC3"/>
    <w:rsid w:val="35C624D3"/>
    <w:rsid w:val="36E16C0F"/>
    <w:rsid w:val="37BA7AD7"/>
    <w:rsid w:val="38277DAF"/>
    <w:rsid w:val="38E16C80"/>
    <w:rsid w:val="39DF6321"/>
    <w:rsid w:val="3A3A0D76"/>
    <w:rsid w:val="3A4A193A"/>
    <w:rsid w:val="3A61549C"/>
    <w:rsid w:val="3ADF3238"/>
    <w:rsid w:val="3C060909"/>
    <w:rsid w:val="3C064FC9"/>
    <w:rsid w:val="3C3914DF"/>
    <w:rsid w:val="3C572BF9"/>
    <w:rsid w:val="3CE267FD"/>
    <w:rsid w:val="3D811CCF"/>
    <w:rsid w:val="3DBC0C92"/>
    <w:rsid w:val="3E3E6E6C"/>
    <w:rsid w:val="3E4D3C7C"/>
    <w:rsid w:val="3E842275"/>
    <w:rsid w:val="3E931B78"/>
    <w:rsid w:val="3F682ADC"/>
    <w:rsid w:val="3F820939"/>
    <w:rsid w:val="3FD22E54"/>
    <w:rsid w:val="3FE32053"/>
    <w:rsid w:val="417D2A96"/>
    <w:rsid w:val="41BA7498"/>
    <w:rsid w:val="41D103D1"/>
    <w:rsid w:val="41F8770C"/>
    <w:rsid w:val="4273217E"/>
    <w:rsid w:val="428C2F2E"/>
    <w:rsid w:val="43486471"/>
    <w:rsid w:val="44090091"/>
    <w:rsid w:val="4431700D"/>
    <w:rsid w:val="44512A1B"/>
    <w:rsid w:val="44926B19"/>
    <w:rsid w:val="457621F3"/>
    <w:rsid w:val="45794131"/>
    <w:rsid w:val="45DD462C"/>
    <w:rsid w:val="46A07FE7"/>
    <w:rsid w:val="46BC3555"/>
    <w:rsid w:val="47281D90"/>
    <w:rsid w:val="480D2A22"/>
    <w:rsid w:val="48427D12"/>
    <w:rsid w:val="48517B76"/>
    <w:rsid w:val="49991B7D"/>
    <w:rsid w:val="4A5D6C22"/>
    <w:rsid w:val="4B1B4393"/>
    <w:rsid w:val="4DB546F4"/>
    <w:rsid w:val="4E012630"/>
    <w:rsid w:val="4E650BB7"/>
    <w:rsid w:val="4E6B7EC1"/>
    <w:rsid w:val="4E8F65FF"/>
    <w:rsid w:val="4F064E15"/>
    <w:rsid w:val="4F376868"/>
    <w:rsid w:val="4F6C2A52"/>
    <w:rsid w:val="4FA83182"/>
    <w:rsid w:val="4FCE1167"/>
    <w:rsid w:val="50047BC4"/>
    <w:rsid w:val="500E60D8"/>
    <w:rsid w:val="51AB1A03"/>
    <w:rsid w:val="5359055D"/>
    <w:rsid w:val="54A26B7B"/>
    <w:rsid w:val="54F02029"/>
    <w:rsid w:val="54F07714"/>
    <w:rsid w:val="56B42B4A"/>
    <w:rsid w:val="56FF3E18"/>
    <w:rsid w:val="57CA5A63"/>
    <w:rsid w:val="58CC3B54"/>
    <w:rsid w:val="58DF76EE"/>
    <w:rsid w:val="594A480D"/>
    <w:rsid w:val="59594A08"/>
    <w:rsid w:val="59A239D8"/>
    <w:rsid w:val="59F45004"/>
    <w:rsid w:val="5B5803AC"/>
    <w:rsid w:val="5C011ECB"/>
    <w:rsid w:val="5C84782F"/>
    <w:rsid w:val="5CF039B6"/>
    <w:rsid w:val="5D420DB6"/>
    <w:rsid w:val="5D435A95"/>
    <w:rsid w:val="5DB2354F"/>
    <w:rsid w:val="5E1A09D3"/>
    <w:rsid w:val="5EA12B9A"/>
    <w:rsid w:val="5EE52C75"/>
    <w:rsid w:val="5F232846"/>
    <w:rsid w:val="5F4B7C0E"/>
    <w:rsid w:val="60527752"/>
    <w:rsid w:val="605B0C85"/>
    <w:rsid w:val="609F2885"/>
    <w:rsid w:val="61D520F5"/>
    <w:rsid w:val="637B1FF1"/>
    <w:rsid w:val="64727826"/>
    <w:rsid w:val="652F3FB0"/>
    <w:rsid w:val="65412805"/>
    <w:rsid w:val="655A5DA5"/>
    <w:rsid w:val="658B36F7"/>
    <w:rsid w:val="65A74E21"/>
    <w:rsid w:val="662C5448"/>
    <w:rsid w:val="66AB551F"/>
    <w:rsid w:val="66B50C1D"/>
    <w:rsid w:val="671C7835"/>
    <w:rsid w:val="67415E27"/>
    <w:rsid w:val="679B349D"/>
    <w:rsid w:val="67CD07F7"/>
    <w:rsid w:val="682054F9"/>
    <w:rsid w:val="68645E27"/>
    <w:rsid w:val="68673177"/>
    <w:rsid w:val="68C62500"/>
    <w:rsid w:val="691B3B5C"/>
    <w:rsid w:val="694458CE"/>
    <w:rsid w:val="6A4C600A"/>
    <w:rsid w:val="6A7C2D67"/>
    <w:rsid w:val="6B8365B5"/>
    <w:rsid w:val="6C5D5CAD"/>
    <w:rsid w:val="6CA562AE"/>
    <w:rsid w:val="6D8A2A33"/>
    <w:rsid w:val="6D9149D0"/>
    <w:rsid w:val="6DB0052D"/>
    <w:rsid w:val="6F5D7020"/>
    <w:rsid w:val="6FC74D07"/>
    <w:rsid w:val="6FD81D27"/>
    <w:rsid w:val="6FE67E7E"/>
    <w:rsid w:val="70041737"/>
    <w:rsid w:val="704214EF"/>
    <w:rsid w:val="71531B61"/>
    <w:rsid w:val="715C411C"/>
    <w:rsid w:val="71AA0808"/>
    <w:rsid w:val="72685795"/>
    <w:rsid w:val="727A2FD1"/>
    <w:rsid w:val="73177BC2"/>
    <w:rsid w:val="733D609C"/>
    <w:rsid w:val="736D79EA"/>
    <w:rsid w:val="73A54D40"/>
    <w:rsid w:val="73CF6789"/>
    <w:rsid w:val="73F54CD8"/>
    <w:rsid w:val="746848B0"/>
    <w:rsid w:val="748E7064"/>
    <w:rsid w:val="74F239A1"/>
    <w:rsid w:val="755C6ECA"/>
    <w:rsid w:val="756954D9"/>
    <w:rsid w:val="7592164A"/>
    <w:rsid w:val="75DA79A3"/>
    <w:rsid w:val="78FF4573"/>
    <w:rsid w:val="793B1AC8"/>
    <w:rsid w:val="797F01F4"/>
    <w:rsid w:val="79903016"/>
    <w:rsid w:val="79A4014B"/>
    <w:rsid w:val="79A95C97"/>
    <w:rsid w:val="7A544A8A"/>
    <w:rsid w:val="7AFB559C"/>
    <w:rsid w:val="7BBC2DB7"/>
    <w:rsid w:val="7C7F0075"/>
    <w:rsid w:val="7CB20B03"/>
    <w:rsid w:val="7DF81159"/>
    <w:rsid w:val="7E564500"/>
    <w:rsid w:val="7F3954F7"/>
    <w:rsid w:val="7F7C2EF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0"/>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字符"/>
    <w:basedOn w:val="7"/>
    <w:link w:val="5"/>
    <w:qFormat/>
    <w:uiPriority w:val="99"/>
    <w:rPr>
      <w:rFonts w:ascii="Times New Roman" w:hAnsi="Times New Roman" w:eastAsia="宋体" w:cs="Times New Roman"/>
      <w:sz w:val="18"/>
      <w:szCs w:val="18"/>
    </w:rPr>
  </w:style>
  <w:style w:type="character" w:customStyle="1" w:styleId="9">
    <w:name w:val="页脚 字符"/>
    <w:basedOn w:val="7"/>
    <w:link w:val="4"/>
    <w:qFormat/>
    <w:uiPriority w:val="99"/>
    <w:rPr>
      <w:rFonts w:ascii="Times New Roman" w:hAnsi="Times New Roman" w:eastAsia="宋体" w:cs="Times New Roman"/>
      <w:sz w:val="18"/>
      <w:szCs w:val="18"/>
    </w:rPr>
  </w:style>
  <w:style w:type="character" w:customStyle="1" w:styleId="10">
    <w:name w:val="批注框文本 字符"/>
    <w:basedOn w:val="7"/>
    <w:link w:val="3"/>
    <w:semiHidden/>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816</Words>
  <Characters>4653</Characters>
  <Lines>38</Lines>
  <Paragraphs>10</Paragraphs>
  <TotalTime>30</TotalTime>
  <ScaleCrop>false</ScaleCrop>
  <LinksUpToDate>false</LinksUpToDate>
  <CharactersWithSpaces>5459</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LIL</cp:lastModifiedBy>
  <dcterms:modified xsi:type="dcterms:W3CDTF">2022-09-22T05:54:17Z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1E32F69DC8654CDCBCB9A72F2ABB30AF</vt:lpwstr>
  </property>
</Properties>
</file>