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3</w:t>
      </w:r>
    </w:p>
    <w:p>
      <w:pPr>
        <w:spacing w:before="0" w:after="0" w:line="240" w:lineRule="auto"/>
        <w:ind w:right="0"/>
        <w:jc w:val="center"/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  <w:lang w:val="en-US" w:eastAsia="zh-CN"/>
        </w:rPr>
        <w:t>JKLYJ-1-120导体外径测量</w:t>
      </w: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</w:rPr>
        <w:t>过程有效性确认记录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4"/>
        <w:gridCol w:w="271"/>
        <w:gridCol w:w="1297"/>
        <w:gridCol w:w="1221"/>
        <w:gridCol w:w="1548"/>
        <w:gridCol w:w="769"/>
        <w:gridCol w:w="599"/>
        <w:gridCol w:w="1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  <w:lang w:val="en-US" w:eastAsia="zh-CN"/>
              </w:rPr>
              <w:t>JKLYJ-1-120导体外径测量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/>
                <w:lang w:val="en-US" w:eastAsia="zh-CN"/>
              </w:rPr>
              <w:t>JY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测量设备：（0～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0）mm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测量方法：采用直接测量法，首先保证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JKLYJ-1-120导体图纸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要求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，每次对被测</w:t>
            </w:r>
            <w:r>
              <w:rPr>
                <w:rFonts w:hint="eastAsia"/>
                <w:lang w:val="en-US" w:eastAsia="zh-CN"/>
              </w:rPr>
              <w:t>JKLYJ-1-120导体外径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重复测量不低于3次,读取被测量数据，并做好原始记录。用同一台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游标卡尺对被测</w:t>
            </w:r>
            <w:r>
              <w:rPr>
                <w:rFonts w:hint="eastAsia"/>
                <w:lang w:val="en-US" w:eastAsia="zh-CN"/>
              </w:rPr>
              <w:t>JKLYJ-1-120导体外径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游标卡尺对</w:t>
            </w:r>
            <w:r>
              <w:rPr>
                <w:rFonts w:hint="eastAsia"/>
                <w:lang w:val="en-US" w:eastAsia="zh-CN"/>
              </w:rPr>
              <w:t>JKLYJ-1-120导体外径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φ12.96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数显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游标卡尺对</w:t>
            </w:r>
            <w:r>
              <w:rPr>
                <w:rFonts w:hint="eastAsia"/>
                <w:lang w:val="en-US" w:eastAsia="zh-CN"/>
              </w:rPr>
              <w:t>JKLYJ-1-120导体外径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φ13.00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φ12.96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φ13.00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确认人员：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曹顺兴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64210" cy="251460"/>
                  <wp:effectExtent l="0" t="0" r="6350" b="7620"/>
                  <wp:docPr id="2" name="图片 2" descr="422a8e86acb031b7bbf96a6dd1ddc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22a8e86acb031b7bbf96a6dd1ddc6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日期：202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2.3.27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3986851"/>
    <w:rsid w:val="10446AA2"/>
    <w:rsid w:val="21455578"/>
    <w:rsid w:val="2A047C8B"/>
    <w:rsid w:val="2CC46360"/>
    <w:rsid w:val="30D35508"/>
    <w:rsid w:val="33C90C9E"/>
    <w:rsid w:val="434C43AD"/>
    <w:rsid w:val="44D8522D"/>
    <w:rsid w:val="4A9D5008"/>
    <w:rsid w:val="509B5CE3"/>
    <w:rsid w:val="563F5A98"/>
    <w:rsid w:val="56E61820"/>
    <w:rsid w:val="5E3075C8"/>
    <w:rsid w:val="5F1B05FE"/>
    <w:rsid w:val="5F680526"/>
    <w:rsid w:val="5FFA05B7"/>
    <w:rsid w:val="60E969C0"/>
    <w:rsid w:val="6C77472E"/>
    <w:rsid w:val="7F012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508</Words>
  <Characters>666</Characters>
  <TotalTime>1</TotalTime>
  <ScaleCrop>false</ScaleCrop>
  <LinksUpToDate>false</LinksUpToDate>
  <CharactersWithSpaces>762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2022-09-28T03:08:05Z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2AA9D30A84B844949C5CA21D46CB2BF6</vt:lpwstr>
  </property>
</Properties>
</file>