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通化石油工具股份有限公司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0151-2018-2022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0151-2018-2022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通化石油工具股份有限公司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宋振东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ISC-2018-0332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2023-11-18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四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2022年10月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-12日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left="210" w:right="161" w:hanging="210" w:hangingChars="1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>王玉玲</w:t>
            </w:r>
            <w:r>
              <w:rPr>
                <w:color w:val="000000"/>
                <w:szCs w:val="21"/>
                <w:shd w:val="clear" w:color="auto" w:fill="auto"/>
              </w:rPr>
              <w:t>2021-M1MMS-2274254</w:t>
            </w: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管理层/质量管理部/生产部（生产车间）/技术部</w:t>
            </w:r>
          </w:p>
          <w:p>
            <w:pPr>
              <w:jc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市场部/ 行政部/销售采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购部/仓库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szCs w:val="21"/>
          <w:highlight w:val="none"/>
        </w:rPr>
        <w:t>份，顾客满意度为9</w:t>
      </w:r>
      <w:r>
        <w:rPr>
          <w:rFonts w:hint="eastAsia"/>
          <w:szCs w:val="21"/>
          <w:highlight w:val="none"/>
          <w:lang w:val="en-US" w:eastAsia="zh-CN"/>
        </w:rPr>
        <w:t>8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48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转换接头硬度测量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个关键测量过程</w:t>
      </w:r>
      <w:r>
        <w:rPr>
          <w:rFonts w:hint="eastAsia"/>
          <w:szCs w:val="21"/>
          <w:lang w:val="en-US" w:eastAsia="zh-CN"/>
        </w:rPr>
        <w:t>2个重要过程</w:t>
      </w:r>
      <w:r>
        <w:rPr>
          <w:szCs w:val="21"/>
        </w:rPr>
        <w:t>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17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</w:t>
      </w:r>
      <w:r>
        <w:rPr>
          <w:rFonts w:hint="eastAsia"/>
          <w:color w:val="000000" w:themeColor="text1"/>
          <w:szCs w:val="21"/>
          <w:highlight w:val="none"/>
        </w:rPr>
        <w:t>总经理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 xml:space="preserve">姚炳华 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宋振东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布氏硬度计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转换接头硬度测量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已</w:t>
      </w:r>
      <w:r>
        <w:rPr>
          <w:rFonts w:hint="eastAsia" w:ascii="宋体" w:hAnsi="宋体" w:eastAsia="宋体"/>
          <w:bCs/>
          <w:color w:val="auto"/>
          <w:szCs w:val="21"/>
        </w:rPr>
        <w:t>建立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3项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最高标准，测量设备由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质量管理部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负责溯源。公司测量设备除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通用卡尺、高度卡尺、千分尺、百分表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自检外全部委托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东北国家计量测试中心辽宁省计量科学研究院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、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通化市计量检定测试所、广东中准检测有限公司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等机构检定/校准抽查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111.6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9月至今</w:t>
      </w:r>
      <w:r>
        <w:rPr>
          <w:rFonts w:hint="eastAsia" w:ascii="宋体" w:hAnsi="宋体" w:eastAsia="宋体"/>
          <w:bCs/>
          <w:color w:val="auto"/>
          <w:szCs w:val="21"/>
        </w:rPr>
        <w:t>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840" w:firstLineChars="4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eastAsia="宋体"/>
          <w:b/>
          <w:szCs w:val="21"/>
          <w:lang w:val="en-US" w:eastAsia="zh-CN"/>
        </w:rPr>
        <w:t>查企业测量设备台账没有将编号：102945</w:t>
      </w:r>
      <w:r>
        <w:rPr>
          <w:rFonts w:hint="eastAsia" w:eastAsia="宋体"/>
          <w:szCs w:val="21"/>
          <w:lang w:val="en-US" w:eastAsia="zh-CN"/>
        </w:rPr>
        <w:t>电子引伸计型号：YYU-10/50纳入测量设备台账中管理不符合GB/T19022-2003标准中6.3.1测量设备</w:t>
      </w:r>
      <w:r>
        <w:rPr>
          <w:rFonts w:hint="eastAsia"/>
          <w:color w:val="auto"/>
          <w:szCs w:val="21"/>
          <w:lang w:val="en-US" w:eastAsia="zh-CN"/>
        </w:rPr>
        <w:t>条款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9月至今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2022年8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spacing w:line="312" w:lineRule="auto"/>
        <w:rPr>
          <w:rFonts w:hint="default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未</w:t>
      </w:r>
      <w:r>
        <w:rPr>
          <w:szCs w:val="21"/>
        </w:rPr>
        <w:t>发生变化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符合要求。</w:t>
      </w:r>
    </w:p>
    <w:p>
      <w:pPr>
        <w:spacing w:line="300" w:lineRule="auto"/>
        <w:rPr>
          <w:rFonts w:hint="eastAsia" w:eastAsiaTheme="minorEastAsia"/>
          <w:bCs/>
          <w:szCs w:val="21"/>
          <w:lang w:val="en-US" w:eastAsia="zh-CN"/>
        </w:rPr>
      </w:pPr>
      <w:r>
        <w:rPr>
          <w:bCs/>
          <w:szCs w:val="21"/>
        </w:rPr>
        <w:t>企业组织机构没有变更</w:t>
      </w:r>
      <w:r>
        <w:rPr>
          <w:rFonts w:hint="eastAsia"/>
          <w:bCs/>
          <w:szCs w:val="21"/>
          <w:lang w:eastAsia="zh-CN"/>
        </w:rPr>
        <w:t>。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spacing w:line="300" w:lineRule="auto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  <w:r>
        <w:rPr>
          <w:bCs/>
          <w:kern w:val="0"/>
          <w:szCs w:val="21"/>
        </w:rPr>
        <w:t>公司对</w:t>
      </w:r>
      <w:r>
        <w:rPr>
          <w:bCs/>
          <w:szCs w:val="21"/>
        </w:rPr>
        <w:t>标志的使用，符合相关标准和规定。</w:t>
      </w:r>
      <w:r>
        <w:rPr>
          <w:kern w:val="0"/>
          <w:szCs w:val="21"/>
        </w:rPr>
        <w:t>公司测量管理体系在认证证书用于：</w:t>
      </w:r>
      <w:r>
        <w:rPr>
          <w:bCs/>
          <w:szCs w:val="21"/>
        </w:rPr>
        <w:t>开发国内市场及企业形象广告宣传和</w:t>
      </w:r>
      <w:r>
        <w:rPr>
          <w:kern w:val="0"/>
          <w:szCs w:val="21"/>
        </w:rPr>
        <w:t>企业进行招投标加分用。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  <w:lang w:val="en-US" w:eastAsia="zh-CN"/>
        </w:rPr>
        <w:t>企业的销售过程的审核：</w:t>
      </w:r>
    </w:p>
    <w:p>
      <w:pPr>
        <w:bidi w:val="0"/>
        <w:spacing w:line="360" w:lineRule="auto"/>
        <w:ind w:firstLine="630" w:firstLineChars="3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企业对应的销售产品涉及企业自己生产的产品，</w:t>
      </w:r>
      <w:r>
        <w:rPr>
          <w:color w:val="000000"/>
          <w:szCs w:val="21"/>
        </w:rPr>
        <w:t>石油钻采配件、井口配件、阀门、采油井口装置</w:t>
      </w:r>
      <w:r>
        <w:rPr>
          <w:rFonts w:hint="eastAsia"/>
          <w:highlight w:val="none"/>
          <w:lang w:val="en-US" w:eastAsia="zh-CN"/>
        </w:rPr>
        <w:t>等产品在生产过程中对应的测量过程和测量设备，已纳入测量过程控制一览表中管理，测量设备的配备可满足产品的检验要求。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11.关于远程审核情况说明：</w:t>
      </w:r>
    </w:p>
    <w:p>
      <w:pPr>
        <w:bidi w:val="0"/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11.1实施远程审核的概况：本次审核采用</w:t>
      </w:r>
      <w:r>
        <w:rPr>
          <w:rFonts w:hint="eastAsia" w:ascii="宋体" w:hAnsi="宋体"/>
          <w:color w:val="auto"/>
          <w:szCs w:val="21"/>
          <w:lang w:val="en-US" w:eastAsia="zh-CN"/>
        </w:rPr>
        <w:t>的是远程审核方式</w:t>
      </w:r>
      <w:r>
        <w:rPr>
          <w:rFonts w:hint="eastAsia" w:ascii="宋体" w:hAnsi="宋体"/>
          <w:szCs w:val="21"/>
          <w:lang w:val="en-US" w:eastAsia="zh-CN"/>
        </w:rPr>
        <w:t>，审核过程采用微信群视频等方式传递信息，已于受审核方达成信息安全协议并满足信息安全要求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11.2审核过程比较顺利未遇到影响审核过程的突发事件，审核计划顺利完成。远程审核已达到审核目标的有效性。无需补充现场审核。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cs="宋体" w:asciiTheme="minorEastAsia" w:hAnsiTheme="minorEastAsia" w:eastAsiaTheme="minorEastAsia"/>
          <w:bCs/>
          <w:color w:val="auto"/>
          <w:kern w:val="0"/>
          <w:szCs w:val="21"/>
          <w:lang w:val="en-US" w:eastAsia="zh-CN"/>
        </w:rPr>
      </w:pPr>
      <w:bookmarkStart w:id="11" w:name="_GoBack"/>
      <w:bookmarkEnd w:id="11"/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-10月12日上午一天半的时间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通化石油工具股份</w:t>
      </w:r>
      <w:r>
        <w:rPr>
          <w:rFonts w:cs="宋体" w:asciiTheme="minorEastAsia" w:hAnsiTheme="minorEastAsia"/>
          <w:color w:val="auto"/>
          <w:kern w:val="0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2022.10.12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2022.10.12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34B48B2"/>
    <w:rsid w:val="681373FD"/>
    <w:rsid w:val="7CE54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3673</Words>
  <Characters>4034</Characters>
  <Lines>15</Lines>
  <Paragraphs>4</Paragraphs>
  <TotalTime>2</TotalTime>
  <ScaleCrop>false</ScaleCrop>
  <LinksUpToDate>false</LinksUpToDate>
  <CharactersWithSpaces>4226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2022-10-11T08:47:02Z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20351B5D88774961AFCB7F48E1AFA84B</vt:lpwstr>
  </property>
</Properties>
</file>