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r>
        <w:rPr>
          <w:rFonts w:hint="eastAsia"/>
          <w:b/>
          <w:sz w:val="28"/>
          <w:szCs w:val="28"/>
        </w:rPr>
        <w:t>测量设备溯源</w:t>
      </w:r>
      <w:r>
        <w:rPr>
          <w:rFonts w:hint="eastAsia" w:ascii="Times New Roman" w:hAnsi="Times New Roman" w:eastAsia="宋体" w:cs="Times New Roman"/>
          <w:b/>
          <w:sz w:val="28"/>
          <w:szCs w:val="28"/>
        </w:rPr>
        <w:t>抽查</w:t>
      </w:r>
      <w:r>
        <w:rPr>
          <w:rFonts w:hint="eastAsia"/>
          <w:b/>
          <w:sz w:val="28"/>
          <w:szCs w:val="28"/>
        </w:rPr>
        <w:t>表</w:t>
      </w:r>
    </w:p>
    <w:p>
      <w:pPr>
        <w:jc w:val="right"/>
        <w:rPr>
          <w:rFonts w:ascii="Times New Roman" w:hAnsi="Times New Roman" w:cs="Times New Roman"/>
          <w:sz w:val="20"/>
          <w:szCs w:val="28"/>
        </w:rPr>
      </w:pPr>
      <w:r>
        <w:rPr>
          <w:rFonts w:ascii="Times New Roman" w:hAnsi="Times New Roman" w:cs="Times New Roman"/>
          <w:sz w:val="20"/>
          <w:szCs w:val="28"/>
        </w:rPr>
        <w:t>编号</w:t>
      </w:r>
      <w:r>
        <w:rPr>
          <w:rFonts w:hint="eastAsia" w:ascii="Times New Roman" w:hAnsi="Times New Roman" w:cs="Times New Roman"/>
          <w:sz w:val="20"/>
          <w:szCs w:val="28"/>
        </w:rPr>
        <w:t>：</w:t>
      </w:r>
      <w:bookmarkStart w:id="0" w:name="合同编号"/>
      <w:r>
        <w:rPr>
          <w:rFonts w:ascii="Times New Roman" w:hAnsi="Times New Roman" w:cs="Times New Roman"/>
          <w:sz w:val="20"/>
          <w:szCs w:val="28"/>
          <w:u w:val="single"/>
        </w:rPr>
        <w:t>0151-2018-2022</w:t>
      </w:r>
      <w:bookmarkEnd w:id="0"/>
    </w:p>
    <w:tbl>
      <w:tblPr>
        <w:tblStyle w:val="6"/>
        <w:tblW w:w="11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176"/>
        <w:gridCol w:w="1234"/>
        <w:gridCol w:w="1032"/>
        <w:gridCol w:w="1275"/>
        <w:gridCol w:w="1275"/>
        <w:gridCol w:w="1562"/>
        <w:gridCol w:w="1276"/>
        <w:gridCol w:w="1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1092" w:type="dxa"/>
            <w:vAlign w:val="center"/>
          </w:tcPr>
          <w:p>
            <w:pPr>
              <w:jc w:val="center"/>
              <w:rPr>
                <w:szCs w:val="21"/>
              </w:rPr>
            </w:pPr>
            <w:r>
              <w:rPr>
                <w:rFonts w:hint="eastAsia"/>
                <w:szCs w:val="21"/>
              </w:rPr>
              <w:t>企业名称</w:t>
            </w:r>
          </w:p>
        </w:tc>
        <w:tc>
          <w:tcPr>
            <w:tcW w:w="10140" w:type="dxa"/>
            <w:gridSpan w:val="8"/>
            <w:vAlign w:val="center"/>
          </w:tcPr>
          <w:p>
            <w:pPr>
              <w:jc w:val="left"/>
              <w:rPr>
                <w:szCs w:val="21"/>
              </w:rPr>
            </w:pPr>
            <w:bookmarkStart w:id="1" w:name="组织名称"/>
            <w:r>
              <w:rPr>
                <w:szCs w:val="21"/>
              </w:rPr>
              <w:t>通化石油工具股份有限公司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8" w:hRule="atLeast"/>
          <w:jc w:val="center"/>
        </w:trPr>
        <w:tc>
          <w:tcPr>
            <w:tcW w:w="1092" w:type="dxa"/>
            <w:vAlign w:val="center"/>
          </w:tcPr>
          <w:p>
            <w:pPr>
              <w:jc w:val="center"/>
              <w:rPr>
                <w:sz w:val="18"/>
                <w:szCs w:val="18"/>
              </w:rPr>
            </w:pPr>
            <w:r>
              <w:rPr>
                <w:rFonts w:hint="eastAsia"/>
                <w:sz w:val="18"/>
                <w:szCs w:val="18"/>
              </w:rPr>
              <w:t>部门</w:t>
            </w:r>
          </w:p>
        </w:tc>
        <w:tc>
          <w:tcPr>
            <w:tcW w:w="1176" w:type="dxa"/>
            <w:vAlign w:val="center"/>
          </w:tcPr>
          <w:p>
            <w:pPr>
              <w:jc w:val="center"/>
              <w:rPr>
                <w:sz w:val="18"/>
                <w:szCs w:val="18"/>
              </w:rPr>
            </w:pPr>
            <w:r>
              <w:rPr>
                <w:rFonts w:hint="eastAsia"/>
                <w:sz w:val="18"/>
                <w:szCs w:val="18"/>
              </w:rPr>
              <w:t>测量设备名称</w:t>
            </w:r>
          </w:p>
        </w:tc>
        <w:tc>
          <w:tcPr>
            <w:tcW w:w="1234" w:type="dxa"/>
            <w:vAlign w:val="center"/>
          </w:tcPr>
          <w:p>
            <w:pPr>
              <w:jc w:val="center"/>
              <w:rPr>
                <w:sz w:val="18"/>
                <w:szCs w:val="18"/>
              </w:rPr>
            </w:pPr>
            <w:r>
              <w:rPr>
                <w:rFonts w:hint="eastAsia"/>
                <w:sz w:val="18"/>
                <w:szCs w:val="18"/>
              </w:rPr>
              <w:t>测量设备</w:t>
            </w:r>
          </w:p>
          <w:p>
            <w:pPr>
              <w:jc w:val="center"/>
              <w:rPr>
                <w:sz w:val="18"/>
                <w:szCs w:val="18"/>
              </w:rPr>
            </w:pPr>
            <w:r>
              <w:rPr>
                <w:rFonts w:hint="eastAsia"/>
                <w:sz w:val="18"/>
                <w:szCs w:val="18"/>
              </w:rPr>
              <w:t>编号</w:t>
            </w:r>
          </w:p>
        </w:tc>
        <w:tc>
          <w:tcPr>
            <w:tcW w:w="1032" w:type="dxa"/>
            <w:vAlign w:val="center"/>
          </w:tcPr>
          <w:p>
            <w:pPr>
              <w:jc w:val="center"/>
              <w:rPr>
                <w:sz w:val="18"/>
                <w:szCs w:val="18"/>
              </w:rPr>
            </w:pPr>
            <w:r>
              <w:rPr>
                <w:rFonts w:hint="eastAsia"/>
                <w:sz w:val="18"/>
                <w:szCs w:val="18"/>
              </w:rPr>
              <w:t>型号规格</w:t>
            </w:r>
          </w:p>
        </w:tc>
        <w:tc>
          <w:tcPr>
            <w:tcW w:w="1275" w:type="dxa"/>
            <w:vAlign w:val="center"/>
          </w:tcPr>
          <w:p>
            <w:pPr>
              <w:jc w:val="center"/>
              <w:rPr>
                <w:color w:val="000000" w:themeColor="text1"/>
                <w:sz w:val="18"/>
                <w:szCs w:val="18"/>
              </w:rPr>
            </w:pPr>
            <w:r>
              <w:rPr>
                <w:rFonts w:hint="eastAsia"/>
                <w:color w:val="000000" w:themeColor="text1"/>
                <w:sz w:val="18"/>
                <w:szCs w:val="18"/>
              </w:rPr>
              <w:t>测量设备</w:t>
            </w:r>
          </w:p>
          <w:p>
            <w:pPr>
              <w:ind w:firstLine="180" w:firstLineChars="100"/>
              <w:rPr>
                <w:color w:val="000000" w:themeColor="text1"/>
                <w:sz w:val="18"/>
                <w:szCs w:val="18"/>
              </w:rPr>
            </w:pPr>
            <w:r>
              <w:rPr>
                <w:rFonts w:hint="eastAsia"/>
                <w:color w:val="000000" w:themeColor="text1"/>
                <w:sz w:val="18"/>
                <w:szCs w:val="18"/>
              </w:rPr>
              <w:t>计量特性</w:t>
            </w:r>
          </w:p>
        </w:tc>
        <w:tc>
          <w:tcPr>
            <w:tcW w:w="1275" w:type="dxa"/>
            <w:vAlign w:val="center"/>
          </w:tcPr>
          <w:p>
            <w:pPr>
              <w:jc w:val="center"/>
              <w:rPr>
                <w:color w:val="000000" w:themeColor="text1"/>
                <w:sz w:val="18"/>
                <w:szCs w:val="18"/>
              </w:rPr>
            </w:pPr>
            <w:r>
              <w:rPr>
                <w:rFonts w:hint="eastAsia"/>
                <w:color w:val="000000" w:themeColor="text1"/>
                <w:sz w:val="18"/>
                <w:szCs w:val="18"/>
              </w:rPr>
              <w:t>测量标准装置名称及技术参数</w:t>
            </w:r>
          </w:p>
        </w:tc>
        <w:tc>
          <w:tcPr>
            <w:tcW w:w="1562" w:type="dxa"/>
            <w:vAlign w:val="center"/>
          </w:tcPr>
          <w:p>
            <w:pPr>
              <w:jc w:val="center"/>
              <w:rPr>
                <w:sz w:val="18"/>
                <w:szCs w:val="18"/>
              </w:rPr>
            </w:pPr>
            <w:r>
              <w:rPr>
                <w:rFonts w:hint="eastAsia"/>
                <w:sz w:val="18"/>
                <w:szCs w:val="18"/>
              </w:rPr>
              <w:t>检定/校准机构</w:t>
            </w:r>
          </w:p>
        </w:tc>
        <w:tc>
          <w:tcPr>
            <w:tcW w:w="1276" w:type="dxa"/>
            <w:vAlign w:val="center"/>
          </w:tcPr>
          <w:p>
            <w:pPr>
              <w:jc w:val="center"/>
              <w:rPr>
                <w:sz w:val="18"/>
                <w:szCs w:val="18"/>
              </w:rPr>
            </w:pPr>
            <w:r>
              <w:rPr>
                <w:rFonts w:hint="eastAsia"/>
                <w:sz w:val="18"/>
                <w:szCs w:val="18"/>
              </w:rPr>
              <w:t>检定/校准日期</w:t>
            </w:r>
          </w:p>
        </w:tc>
        <w:tc>
          <w:tcPr>
            <w:tcW w:w="1310" w:type="dxa"/>
            <w:vAlign w:val="center"/>
          </w:tcPr>
          <w:p>
            <w:pPr>
              <w:jc w:val="center"/>
              <w:rPr>
                <w:rFonts w:ascii="宋体" w:hAnsi="宋体"/>
                <w:sz w:val="18"/>
                <w:szCs w:val="18"/>
              </w:rPr>
            </w:pPr>
            <w:r>
              <w:rPr>
                <w:rFonts w:hint="eastAsia" w:ascii="宋体" w:hAnsi="宋体"/>
                <w:sz w:val="18"/>
                <w:szCs w:val="18"/>
              </w:rPr>
              <w:t>符</w:t>
            </w:r>
            <w:r>
              <w:rPr>
                <w:rFonts w:hint="eastAsia"/>
                <w:sz w:val="18"/>
                <w:szCs w:val="18"/>
              </w:rPr>
              <w:t>合打</w:t>
            </w:r>
            <w:r>
              <w:rPr>
                <w:rFonts w:hint="eastAsia" w:ascii="宋体" w:hAnsi="宋体"/>
                <w:sz w:val="18"/>
                <w:szCs w:val="18"/>
              </w:rPr>
              <w:t>√</w:t>
            </w:r>
          </w:p>
          <w:p>
            <w:pPr>
              <w:jc w:val="center"/>
              <w:rPr>
                <w:sz w:val="18"/>
                <w:szCs w:val="18"/>
              </w:rPr>
            </w:pPr>
            <w:r>
              <w:rPr>
                <w:rFonts w:hint="eastAsia"/>
                <w:sz w:val="18"/>
                <w:szCs w:val="18"/>
              </w:rPr>
              <w:t>不</w:t>
            </w:r>
            <w:r>
              <w:rPr>
                <w:rFonts w:hint="eastAsia" w:ascii="宋体" w:hAnsi="宋体"/>
                <w:sz w:val="18"/>
                <w:szCs w:val="18"/>
              </w:rPr>
              <w:t>符</w:t>
            </w:r>
            <w:r>
              <w:rPr>
                <w:rFonts w:hint="eastAsia"/>
                <w:sz w:val="18"/>
                <w:szCs w:val="18"/>
              </w:rPr>
              <w:t>合打</w:t>
            </w:r>
            <w:r>
              <w:rPr>
                <w:rFonts w:ascii="Times New Roman" w:hAnsi="Times New Roman"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092" w:type="dxa"/>
            <w:vAlign w:val="center"/>
          </w:tcPr>
          <w:p>
            <w:pPr>
              <w:jc w:val="center"/>
              <w:rPr>
                <w:rFonts w:hint="default" w:eastAsiaTheme="minorEastAsia"/>
                <w:color w:val="auto"/>
                <w:sz w:val="18"/>
                <w:szCs w:val="18"/>
                <w:lang w:val="en-US" w:eastAsia="zh-CN"/>
              </w:rPr>
            </w:pPr>
            <w:r>
              <w:rPr>
                <w:rFonts w:hint="eastAsia"/>
                <w:color w:val="auto"/>
                <w:sz w:val="18"/>
                <w:szCs w:val="18"/>
                <w:lang w:val="en-US" w:eastAsia="zh-CN"/>
              </w:rPr>
              <w:t>质量管理部</w:t>
            </w:r>
          </w:p>
        </w:tc>
        <w:tc>
          <w:tcPr>
            <w:tcW w:w="1176" w:type="dxa"/>
            <w:vAlign w:val="center"/>
          </w:tcPr>
          <w:p>
            <w:pPr>
              <w:jc w:val="center"/>
              <w:rPr>
                <w:rFonts w:hint="default" w:asciiTheme="minorHAnsi" w:hAnsiTheme="minorHAnsi" w:eastAsiaTheme="minorEastAsia" w:cstheme="minorBidi"/>
                <w:color w:val="auto"/>
                <w:kern w:val="2"/>
                <w:sz w:val="18"/>
                <w:szCs w:val="18"/>
                <w:lang w:val="en-US" w:eastAsia="zh-CN" w:bidi="ar-SA"/>
              </w:rPr>
            </w:pPr>
            <w:r>
              <w:rPr>
                <w:rFonts w:hint="eastAsia"/>
                <w:color w:val="auto"/>
                <w:sz w:val="18"/>
                <w:szCs w:val="18"/>
                <w:lang w:val="en-US" w:eastAsia="zh-CN"/>
              </w:rPr>
              <w:t>金属布氏硬度计</w:t>
            </w:r>
          </w:p>
        </w:tc>
        <w:tc>
          <w:tcPr>
            <w:tcW w:w="1234" w:type="dxa"/>
            <w:vAlign w:val="top"/>
          </w:tcPr>
          <w:p>
            <w:pPr>
              <w:jc w:val="center"/>
              <w:rPr>
                <w:rFonts w:hint="default" w:asciiTheme="minorHAnsi" w:hAnsiTheme="minorHAnsi" w:eastAsiaTheme="minorEastAsia" w:cstheme="minorBidi"/>
                <w:kern w:val="2"/>
                <w:sz w:val="18"/>
                <w:szCs w:val="18"/>
                <w:lang w:val="en-US" w:eastAsia="zh-CN" w:bidi="ar-SA"/>
              </w:rPr>
            </w:pPr>
            <w:r>
              <w:rPr>
                <w:rFonts w:hint="eastAsia"/>
                <w:sz w:val="18"/>
                <w:szCs w:val="18"/>
                <w:lang w:val="en-US" w:eastAsia="zh-CN"/>
              </w:rPr>
              <w:t>0072</w:t>
            </w:r>
          </w:p>
        </w:tc>
        <w:tc>
          <w:tcPr>
            <w:tcW w:w="1032" w:type="dxa"/>
            <w:vAlign w:val="center"/>
          </w:tcPr>
          <w:p>
            <w:pPr>
              <w:jc w:val="center"/>
              <w:rPr>
                <w:rFonts w:hint="default" w:asciiTheme="minorHAnsi" w:hAnsiTheme="minorHAnsi" w:eastAsiaTheme="minorEastAsia" w:cstheme="minorBidi"/>
                <w:kern w:val="2"/>
                <w:sz w:val="18"/>
                <w:szCs w:val="18"/>
                <w:lang w:val="en-US" w:eastAsia="zh-CN" w:bidi="ar-SA"/>
              </w:rPr>
            </w:pPr>
            <w:r>
              <w:rPr>
                <w:rFonts w:hint="eastAsia"/>
                <w:sz w:val="18"/>
                <w:szCs w:val="18"/>
                <w:lang w:val="en-US" w:eastAsia="zh-CN"/>
              </w:rPr>
              <w:t>HB-3000</w:t>
            </w:r>
          </w:p>
        </w:tc>
        <w:tc>
          <w:tcPr>
            <w:tcW w:w="1275" w:type="dxa"/>
            <w:vAlign w:val="center"/>
          </w:tcPr>
          <w:p>
            <w:pPr>
              <w:jc w:val="center"/>
              <w:rPr>
                <w:rFonts w:asciiTheme="minorHAnsi" w:hAnsiTheme="minorHAnsi" w:eastAsiaTheme="minorEastAsia" w:cstheme="minorBidi"/>
                <w:kern w:val="2"/>
                <w:sz w:val="18"/>
                <w:szCs w:val="18"/>
                <w:lang w:val="en-US" w:eastAsia="zh-CN" w:bidi="ar-SA"/>
              </w:rPr>
            </w:pPr>
            <w:r>
              <w:rPr>
                <w:rFonts w:hint="eastAsia" w:ascii="宋体" w:hAnsi="宋体" w:eastAsia="宋体" w:cs="宋体"/>
              </w:rPr>
              <w:t>±</w:t>
            </w:r>
            <w:r>
              <w:rPr>
                <w:rFonts w:hint="eastAsia"/>
                <w:lang w:val="en-US" w:eastAsia="zh-CN"/>
              </w:rPr>
              <w:t>1.0</w:t>
            </w:r>
            <w:r>
              <w:rPr>
                <w:rFonts w:hint="eastAsia" w:cs="宋体"/>
                <w:lang w:val="en-US" w:eastAsia="zh-CN"/>
              </w:rPr>
              <w:t>%</w:t>
            </w:r>
          </w:p>
        </w:tc>
        <w:tc>
          <w:tcPr>
            <w:tcW w:w="1275" w:type="dxa"/>
            <w:vAlign w:val="center"/>
          </w:tcPr>
          <w:p>
            <w:pPr>
              <w:jc w:val="both"/>
              <w:rPr>
                <w:rFonts w:hint="default" w:asciiTheme="minorHAnsi" w:hAnsiTheme="minorHAnsi" w:eastAsiaTheme="minorEastAsia" w:cstheme="minorBidi"/>
                <w:kern w:val="2"/>
                <w:sz w:val="18"/>
                <w:szCs w:val="18"/>
                <w:lang w:val="en-US" w:eastAsia="zh-CN" w:bidi="ar-SA"/>
              </w:rPr>
            </w:pPr>
            <w:r>
              <w:rPr>
                <w:rFonts w:hint="eastAsia"/>
                <w:sz w:val="18"/>
                <w:szCs w:val="18"/>
                <w:lang w:val="en-US" w:eastAsia="zh-CN"/>
              </w:rPr>
              <w:t>标准布氏硬度块组HBW6等</w:t>
            </w:r>
          </w:p>
        </w:tc>
        <w:tc>
          <w:tcPr>
            <w:tcW w:w="1562" w:type="dxa"/>
            <w:vAlign w:val="center"/>
          </w:tcPr>
          <w:p>
            <w:pPr>
              <w:jc w:val="center"/>
              <w:rPr>
                <w:rFonts w:hint="default" w:asciiTheme="minorHAnsi" w:hAnsiTheme="minorHAnsi" w:eastAsiaTheme="minorEastAsia" w:cstheme="minorBidi"/>
                <w:kern w:val="2"/>
                <w:sz w:val="18"/>
                <w:szCs w:val="18"/>
                <w:lang w:val="en-US" w:eastAsia="zh-CN" w:bidi="ar-SA"/>
              </w:rPr>
            </w:pPr>
            <w:r>
              <w:rPr>
                <w:rFonts w:hint="eastAsia"/>
                <w:sz w:val="18"/>
                <w:szCs w:val="18"/>
                <w:lang w:val="en-US" w:eastAsia="zh-CN"/>
              </w:rPr>
              <w:t>广东中准检测有限公司</w:t>
            </w:r>
          </w:p>
        </w:tc>
        <w:tc>
          <w:tcPr>
            <w:tcW w:w="1276" w:type="dxa"/>
            <w:vAlign w:val="center"/>
          </w:tcPr>
          <w:p>
            <w:pPr>
              <w:jc w:val="center"/>
              <w:rPr>
                <w:rFonts w:hint="default" w:asciiTheme="minorHAnsi" w:hAnsiTheme="minorHAnsi" w:eastAsiaTheme="minorEastAsia" w:cstheme="minorBidi"/>
                <w:kern w:val="2"/>
                <w:sz w:val="18"/>
                <w:szCs w:val="18"/>
                <w:lang w:val="en-US" w:eastAsia="zh-CN" w:bidi="ar-SA"/>
              </w:rPr>
            </w:pPr>
            <w:r>
              <w:rPr>
                <w:rFonts w:hint="eastAsia"/>
                <w:sz w:val="18"/>
                <w:szCs w:val="18"/>
                <w:lang w:val="en-US" w:eastAsia="zh-CN"/>
              </w:rPr>
              <w:t>2022.7.14</w:t>
            </w:r>
          </w:p>
        </w:tc>
        <w:tc>
          <w:tcPr>
            <w:tcW w:w="1310" w:type="dxa"/>
            <w:vAlign w:val="top"/>
          </w:tcPr>
          <w:p>
            <w:pPr>
              <w:jc w:val="center"/>
              <w:rPr>
                <w:rFonts w:asciiTheme="minorHAnsi" w:hAnsiTheme="minorHAnsi" w:eastAsiaTheme="minorEastAsia" w:cstheme="minorBidi"/>
                <w:kern w:val="2"/>
                <w:sz w:val="18"/>
                <w:szCs w:val="18"/>
                <w:lang w:val="en-US" w:eastAsia="zh-CN" w:bidi="ar-SA"/>
              </w:rP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092" w:type="dxa"/>
            <w:vAlign w:val="center"/>
          </w:tcPr>
          <w:p>
            <w:pPr>
              <w:jc w:val="center"/>
              <w:rPr>
                <w:color w:val="auto"/>
                <w:sz w:val="18"/>
                <w:szCs w:val="18"/>
              </w:rPr>
            </w:pPr>
            <w:r>
              <w:rPr>
                <w:rFonts w:hint="eastAsia"/>
                <w:color w:val="auto"/>
                <w:sz w:val="18"/>
                <w:szCs w:val="18"/>
                <w:lang w:val="en-US" w:eastAsia="zh-CN"/>
              </w:rPr>
              <w:t>质量管理部</w:t>
            </w:r>
          </w:p>
        </w:tc>
        <w:tc>
          <w:tcPr>
            <w:tcW w:w="1176" w:type="dxa"/>
            <w:vAlign w:val="center"/>
          </w:tcPr>
          <w:p>
            <w:pPr>
              <w:jc w:val="center"/>
              <w:rPr>
                <w:rFonts w:hint="default" w:asciiTheme="minorHAnsi" w:hAnsiTheme="minorHAnsi" w:eastAsiaTheme="minorEastAsia" w:cstheme="minorBidi"/>
                <w:color w:val="auto"/>
                <w:kern w:val="2"/>
                <w:sz w:val="18"/>
                <w:szCs w:val="18"/>
                <w:lang w:val="en-US" w:eastAsia="zh-CN" w:bidi="ar-SA"/>
              </w:rPr>
            </w:pPr>
            <w:r>
              <w:rPr>
                <w:rFonts w:hint="eastAsia"/>
                <w:color w:val="auto"/>
                <w:sz w:val="18"/>
                <w:szCs w:val="18"/>
                <w:lang w:val="en-US" w:eastAsia="zh-CN"/>
              </w:rPr>
              <w:t>数显温度表</w:t>
            </w:r>
          </w:p>
        </w:tc>
        <w:tc>
          <w:tcPr>
            <w:tcW w:w="1234" w:type="dxa"/>
            <w:vAlign w:val="top"/>
          </w:tcPr>
          <w:p>
            <w:pPr>
              <w:jc w:val="center"/>
              <w:rPr>
                <w:rFonts w:hint="default" w:asciiTheme="minorHAnsi" w:hAnsiTheme="minorHAnsi" w:eastAsiaTheme="minorEastAsia" w:cstheme="minorBidi"/>
                <w:kern w:val="2"/>
                <w:sz w:val="18"/>
                <w:szCs w:val="18"/>
                <w:lang w:val="en-US" w:eastAsia="zh-CN" w:bidi="ar-SA"/>
              </w:rPr>
            </w:pPr>
            <w:r>
              <w:rPr>
                <w:rFonts w:hint="eastAsia" w:cstheme="minorBidi"/>
                <w:kern w:val="2"/>
                <w:sz w:val="18"/>
                <w:szCs w:val="18"/>
                <w:lang w:val="en-US" w:eastAsia="zh-CN" w:bidi="ar-SA"/>
              </w:rPr>
              <w:t>2100237713010</w:t>
            </w:r>
          </w:p>
        </w:tc>
        <w:tc>
          <w:tcPr>
            <w:tcW w:w="1032" w:type="dxa"/>
            <w:vAlign w:val="center"/>
          </w:tcPr>
          <w:p>
            <w:pPr>
              <w:jc w:val="center"/>
              <w:rPr>
                <w:rFonts w:hint="default" w:asciiTheme="minorHAnsi" w:hAnsiTheme="minorHAnsi" w:eastAsiaTheme="minorEastAsia" w:cstheme="minorBidi"/>
                <w:kern w:val="2"/>
                <w:sz w:val="18"/>
                <w:szCs w:val="18"/>
                <w:lang w:val="en-US" w:eastAsia="zh-CN" w:bidi="ar-SA"/>
              </w:rPr>
            </w:pPr>
            <w:r>
              <w:rPr>
                <w:rFonts w:hint="eastAsia" w:cstheme="minorBidi"/>
                <w:kern w:val="2"/>
                <w:sz w:val="18"/>
                <w:szCs w:val="18"/>
                <w:lang w:val="en-US" w:eastAsia="zh-CN" w:bidi="ar-SA"/>
              </w:rPr>
              <w:t>FP93</w:t>
            </w:r>
          </w:p>
        </w:tc>
        <w:tc>
          <w:tcPr>
            <w:tcW w:w="1275" w:type="dxa"/>
            <w:vAlign w:val="center"/>
          </w:tcPr>
          <w:p>
            <w:pPr>
              <w:jc w:val="center"/>
              <w:rPr>
                <w:rFonts w:hint="default" w:asciiTheme="minorHAnsi" w:hAnsiTheme="minorHAnsi" w:eastAsiaTheme="minorEastAsia" w:cstheme="minorBidi"/>
                <w:kern w:val="2"/>
                <w:sz w:val="18"/>
                <w:szCs w:val="18"/>
                <w:lang w:val="en-US" w:eastAsia="zh-CN" w:bidi="ar-SA"/>
              </w:rPr>
            </w:pPr>
            <w:r>
              <w:rPr>
                <w:rFonts w:hint="eastAsia"/>
                <w:sz w:val="18"/>
                <w:szCs w:val="18"/>
                <w:lang w:val="en-US" w:eastAsia="zh-CN"/>
              </w:rPr>
              <w:t>1.0级</w:t>
            </w:r>
          </w:p>
        </w:tc>
        <w:tc>
          <w:tcPr>
            <w:tcW w:w="1275" w:type="dxa"/>
            <w:vAlign w:val="center"/>
          </w:tcPr>
          <w:p>
            <w:pPr>
              <w:jc w:val="center"/>
              <w:rPr>
                <w:rFonts w:hint="eastAsia"/>
                <w:sz w:val="18"/>
                <w:szCs w:val="18"/>
                <w:vertAlign w:val="baseline"/>
                <w:lang w:val="en-US" w:eastAsia="zh-CN"/>
              </w:rPr>
            </w:pPr>
            <w:r>
              <w:rPr>
                <w:rFonts w:hint="eastAsia"/>
                <w:sz w:val="18"/>
                <w:szCs w:val="18"/>
                <w:lang w:val="en-US" w:eastAsia="zh-CN"/>
              </w:rPr>
              <w:t>热工仪表校验仪(0-100)mV U</w:t>
            </w:r>
            <w:r>
              <w:rPr>
                <w:rFonts w:hint="default" w:ascii="Calibri" w:hAnsi="Calibri" w:cs="Calibri"/>
                <w:sz w:val="18"/>
                <w:szCs w:val="18"/>
                <w:lang w:val="en-US" w:eastAsia="zh-CN"/>
              </w:rPr>
              <w:t>re</w:t>
            </w:r>
            <w:r>
              <w:rPr>
                <w:rFonts w:hint="eastAsia"/>
                <w:sz w:val="18"/>
                <w:szCs w:val="18"/>
                <w:lang w:val="en-US" w:eastAsia="zh-CN"/>
              </w:rPr>
              <w:t>l=2</w:t>
            </w:r>
            <w:r>
              <w:rPr>
                <w:rFonts w:hint="default" w:ascii="Arial" w:hAnsi="Arial" w:cs="Arial"/>
                <w:sz w:val="18"/>
                <w:szCs w:val="18"/>
                <w:lang w:val="en-US" w:eastAsia="zh-CN"/>
              </w:rPr>
              <w:t>×</w:t>
            </w:r>
            <w:r>
              <w:rPr>
                <w:rFonts w:hint="eastAsia"/>
                <w:sz w:val="18"/>
                <w:szCs w:val="18"/>
                <w:lang w:val="en-US" w:eastAsia="zh-CN"/>
              </w:rPr>
              <w:t>10</w:t>
            </w:r>
            <w:r>
              <w:rPr>
                <w:rFonts w:hint="eastAsia"/>
                <w:sz w:val="18"/>
                <w:szCs w:val="18"/>
                <w:vertAlign w:val="superscript"/>
                <w:lang w:val="en-US" w:eastAsia="zh-CN"/>
              </w:rPr>
              <w:t>-5</w:t>
            </w:r>
            <w:r>
              <w:rPr>
                <w:rFonts w:hint="eastAsia"/>
                <w:sz w:val="18"/>
                <w:szCs w:val="18"/>
                <w:vertAlign w:val="baseline"/>
                <w:lang w:val="en-US" w:eastAsia="zh-CN"/>
              </w:rPr>
              <w:t>k=2</w:t>
            </w:r>
          </w:p>
          <w:p>
            <w:pPr>
              <w:jc w:val="center"/>
              <w:rPr>
                <w:rFonts w:hint="default" w:asciiTheme="minorHAnsi" w:hAnsiTheme="minorHAnsi" w:eastAsiaTheme="minorEastAsia" w:cstheme="minorBidi"/>
                <w:kern w:val="2"/>
                <w:sz w:val="18"/>
                <w:szCs w:val="18"/>
                <w:vertAlign w:val="baseline"/>
                <w:lang w:val="en-US" w:eastAsia="zh-CN" w:bidi="ar-SA"/>
              </w:rPr>
            </w:pPr>
            <w:r>
              <w:rPr>
                <w:rFonts w:hint="eastAsia"/>
                <w:sz w:val="18"/>
                <w:szCs w:val="18"/>
                <w:lang w:val="en-US" w:eastAsia="zh-CN"/>
              </w:rPr>
              <w:t>(0-400.000)ΩU</w:t>
            </w:r>
            <w:r>
              <w:rPr>
                <w:rFonts w:hint="default" w:ascii="Calibri" w:hAnsi="Calibri" w:cs="Calibri"/>
                <w:sz w:val="18"/>
                <w:szCs w:val="18"/>
                <w:lang w:val="en-US" w:eastAsia="zh-CN"/>
              </w:rPr>
              <w:t>re</w:t>
            </w:r>
            <w:r>
              <w:rPr>
                <w:rFonts w:hint="eastAsia"/>
                <w:sz w:val="18"/>
                <w:szCs w:val="18"/>
                <w:lang w:val="en-US" w:eastAsia="zh-CN"/>
              </w:rPr>
              <w:t>l=2</w:t>
            </w:r>
            <w:r>
              <w:rPr>
                <w:rFonts w:hint="default" w:ascii="Arial" w:hAnsi="Arial" w:cs="Arial"/>
                <w:sz w:val="18"/>
                <w:szCs w:val="18"/>
                <w:lang w:val="en-US" w:eastAsia="zh-CN"/>
              </w:rPr>
              <w:t>×</w:t>
            </w:r>
            <w:r>
              <w:rPr>
                <w:rFonts w:hint="eastAsia"/>
                <w:sz w:val="18"/>
                <w:szCs w:val="18"/>
                <w:lang w:val="en-US" w:eastAsia="zh-CN"/>
              </w:rPr>
              <w:t>10</w:t>
            </w:r>
            <w:r>
              <w:rPr>
                <w:rFonts w:hint="eastAsia"/>
                <w:sz w:val="18"/>
                <w:szCs w:val="18"/>
                <w:vertAlign w:val="superscript"/>
                <w:lang w:val="en-US" w:eastAsia="zh-CN"/>
              </w:rPr>
              <w:t>-5</w:t>
            </w:r>
            <w:r>
              <w:rPr>
                <w:rFonts w:hint="eastAsia"/>
                <w:sz w:val="18"/>
                <w:szCs w:val="18"/>
                <w:vertAlign w:val="baseline"/>
                <w:lang w:val="en-US" w:eastAsia="zh-CN"/>
              </w:rPr>
              <w:t>k=2</w:t>
            </w:r>
          </w:p>
        </w:tc>
        <w:tc>
          <w:tcPr>
            <w:tcW w:w="1562" w:type="dxa"/>
            <w:vAlign w:val="center"/>
          </w:tcPr>
          <w:p>
            <w:pPr>
              <w:jc w:val="center"/>
              <w:rPr>
                <w:rFonts w:hint="default" w:asciiTheme="minorHAnsi" w:hAnsiTheme="minorHAnsi" w:eastAsiaTheme="minorEastAsia" w:cstheme="minorBidi"/>
                <w:kern w:val="2"/>
                <w:sz w:val="18"/>
                <w:szCs w:val="18"/>
                <w:lang w:val="en-US" w:eastAsia="zh-CN" w:bidi="ar-SA"/>
              </w:rPr>
            </w:pPr>
            <w:r>
              <w:rPr>
                <w:rFonts w:hint="eastAsia"/>
                <w:sz w:val="18"/>
                <w:szCs w:val="18"/>
                <w:lang w:val="en-US" w:eastAsia="zh-CN"/>
              </w:rPr>
              <w:t>通化市计量检定测试所</w:t>
            </w:r>
          </w:p>
        </w:tc>
        <w:tc>
          <w:tcPr>
            <w:tcW w:w="1276" w:type="dxa"/>
            <w:vAlign w:val="center"/>
          </w:tcPr>
          <w:p>
            <w:pPr>
              <w:jc w:val="center"/>
              <w:rPr>
                <w:rFonts w:hint="default" w:asciiTheme="minorHAnsi" w:hAnsiTheme="minorHAnsi" w:eastAsiaTheme="minorEastAsia" w:cstheme="minorBidi"/>
                <w:kern w:val="2"/>
                <w:sz w:val="18"/>
                <w:szCs w:val="18"/>
                <w:lang w:val="en-US" w:eastAsia="zh-CN" w:bidi="ar-SA"/>
              </w:rPr>
            </w:pPr>
            <w:r>
              <w:rPr>
                <w:rFonts w:hint="eastAsia"/>
                <w:sz w:val="18"/>
                <w:szCs w:val="18"/>
                <w:lang w:val="en-US" w:eastAsia="zh-CN"/>
              </w:rPr>
              <w:t>2021.11.4</w:t>
            </w:r>
          </w:p>
        </w:tc>
        <w:tc>
          <w:tcPr>
            <w:tcW w:w="1310" w:type="dxa"/>
            <w:vAlign w:val="top"/>
          </w:tcPr>
          <w:p>
            <w:pPr>
              <w:jc w:val="center"/>
              <w:rPr>
                <w:rFonts w:asciiTheme="minorHAnsi" w:hAnsiTheme="minorHAnsi" w:eastAsiaTheme="minorEastAsia" w:cstheme="minorBidi"/>
                <w:kern w:val="2"/>
                <w:sz w:val="18"/>
                <w:szCs w:val="18"/>
                <w:lang w:val="en-US" w:eastAsia="zh-CN" w:bidi="ar-SA"/>
              </w:rP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092" w:type="dxa"/>
            <w:vAlign w:val="center"/>
          </w:tcPr>
          <w:p>
            <w:pPr>
              <w:jc w:val="center"/>
              <w:rPr>
                <w:rFonts w:hint="default" w:eastAsiaTheme="minorEastAsia"/>
                <w:color w:val="auto"/>
                <w:sz w:val="18"/>
                <w:szCs w:val="18"/>
                <w:lang w:val="en-US" w:eastAsia="zh-CN"/>
              </w:rPr>
            </w:pPr>
            <w:r>
              <w:rPr>
                <w:rFonts w:hint="eastAsia"/>
                <w:color w:val="auto"/>
                <w:sz w:val="18"/>
                <w:szCs w:val="18"/>
                <w:lang w:val="en-US" w:eastAsia="zh-CN"/>
              </w:rPr>
              <w:t>质量管理部</w:t>
            </w:r>
          </w:p>
        </w:tc>
        <w:tc>
          <w:tcPr>
            <w:tcW w:w="1176" w:type="dxa"/>
            <w:vAlign w:val="center"/>
          </w:tcPr>
          <w:p>
            <w:pPr>
              <w:jc w:val="center"/>
              <w:rPr>
                <w:rFonts w:hint="default" w:asciiTheme="minorHAnsi" w:hAnsiTheme="minorHAnsi" w:eastAsiaTheme="minorEastAsia" w:cstheme="minorBidi"/>
                <w:color w:val="auto"/>
                <w:kern w:val="2"/>
                <w:sz w:val="18"/>
                <w:szCs w:val="18"/>
                <w:lang w:val="en-US" w:eastAsia="zh-CN" w:bidi="ar-SA"/>
              </w:rPr>
            </w:pPr>
            <w:r>
              <w:rPr>
                <w:rFonts w:hint="eastAsia"/>
                <w:color w:val="auto"/>
                <w:sz w:val="18"/>
                <w:szCs w:val="18"/>
                <w:lang w:val="en-US" w:eastAsia="zh-CN"/>
              </w:rPr>
              <w:t>超声探伤仪</w:t>
            </w:r>
          </w:p>
        </w:tc>
        <w:tc>
          <w:tcPr>
            <w:tcW w:w="1234" w:type="dxa"/>
            <w:vAlign w:val="top"/>
          </w:tcPr>
          <w:p>
            <w:pPr>
              <w:jc w:val="center"/>
              <w:rPr>
                <w:rFonts w:hint="default" w:asciiTheme="minorHAnsi" w:hAnsiTheme="minorHAnsi" w:eastAsiaTheme="minorEastAsia" w:cstheme="minorBidi"/>
                <w:kern w:val="2"/>
                <w:sz w:val="18"/>
                <w:szCs w:val="18"/>
                <w:lang w:val="en-US" w:eastAsia="zh-CN" w:bidi="ar-SA"/>
              </w:rPr>
            </w:pPr>
            <w:r>
              <w:rPr>
                <w:rFonts w:hint="eastAsia"/>
                <w:sz w:val="18"/>
                <w:szCs w:val="18"/>
                <w:lang w:val="en-US" w:eastAsia="zh-CN"/>
              </w:rPr>
              <w:t>NC17036</w:t>
            </w:r>
          </w:p>
        </w:tc>
        <w:tc>
          <w:tcPr>
            <w:tcW w:w="1032" w:type="dxa"/>
            <w:vAlign w:val="center"/>
          </w:tcPr>
          <w:p>
            <w:pPr>
              <w:jc w:val="center"/>
              <w:rPr>
                <w:rFonts w:hint="default" w:asciiTheme="minorHAnsi" w:hAnsiTheme="minorHAnsi" w:eastAsiaTheme="minorEastAsia" w:cstheme="minorBidi"/>
                <w:kern w:val="2"/>
                <w:sz w:val="18"/>
                <w:szCs w:val="18"/>
                <w:lang w:val="en-US" w:eastAsia="zh-CN" w:bidi="ar-SA"/>
              </w:rPr>
            </w:pPr>
            <w:r>
              <w:rPr>
                <w:rFonts w:hint="eastAsia"/>
                <w:sz w:val="18"/>
                <w:szCs w:val="18"/>
                <w:lang w:val="en-US" w:eastAsia="zh-CN"/>
              </w:rPr>
              <w:t>CTS-22</w:t>
            </w:r>
          </w:p>
        </w:tc>
        <w:tc>
          <w:tcPr>
            <w:tcW w:w="1275" w:type="dxa"/>
            <w:vAlign w:val="center"/>
          </w:tcPr>
          <w:p>
            <w:pPr>
              <w:jc w:val="center"/>
              <w:rPr>
                <w:rFonts w:hint="default" w:ascii="Times New Roman" w:hAnsi="Times New Roman" w:cs="Times New Roman" w:eastAsiaTheme="minorEastAsia"/>
                <w:snapToGrid w:val="0"/>
                <w:w w:val="100"/>
                <w:kern w:val="0"/>
                <w:szCs w:val="24"/>
                <w:lang w:val="en-US" w:eastAsia="zh-CN"/>
              </w:rPr>
            </w:pPr>
            <w:r>
              <w:rPr>
                <w:rFonts w:hint="default" w:ascii="Times New Roman" w:hAnsi="Times New Roman" w:cs="Times New Roman"/>
                <w:snapToGrid w:val="0"/>
                <w:w w:val="100"/>
                <w:kern w:val="0"/>
                <w:szCs w:val="24"/>
              </w:rPr>
              <w:t>水平线性误差：</w:t>
            </w:r>
            <w:r>
              <w:rPr>
                <w:rFonts w:hint="eastAsia" w:ascii="Times New Roman" w:hAnsi="Times New Roman" w:cs="Times New Roman"/>
                <w:snapToGrid w:val="0"/>
                <w:w w:val="100"/>
                <w:kern w:val="0"/>
                <w:szCs w:val="24"/>
                <w:lang w:val="en-US" w:eastAsia="zh-CN"/>
              </w:rPr>
              <w:t>1%</w:t>
            </w:r>
          </w:p>
          <w:p>
            <w:pPr>
              <w:jc w:val="center"/>
              <w:rPr>
                <w:rFonts w:hint="default" w:ascii="Times New Roman" w:hAnsi="Times New Roman" w:cs="Times New Roman" w:eastAsiaTheme="minorEastAsia"/>
                <w:snapToGrid w:val="0"/>
                <w:w w:val="100"/>
                <w:kern w:val="0"/>
                <w:szCs w:val="24"/>
                <w:lang w:val="en-US" w:eastAsia="zh-CN"/>
              </w:rPr>
            </w:pPr>
            <w:r>
              <w:rPr>
                <w:rFonts w:hint="default" w:ascii="Times New Roman" w:hAnsi="Times New Roman" w:cs="Times New Roman"/>
                <w:snapToGrid w:val="0"/>
                <w:w w:val="100"/>
                <w:kern w:val="0"/>
                <w:szCs w:val="24"/>
              </w:rPr>
              <w:t>衰减器衰减误差：</w:t>
            </w:r>
            <w:r>
              <w:rPr>
                <w:rFonts w:hint="eastAsia" w:ascii="Times New Roman" w:hAnsi="Times New Roman" w:cs="Times New Roman"/>
                <w:snapToGrid w:val="0"/>
                <w:w w:val="100"/>
                <w:kern w:val="0"/>
                <w:szCs w:val="24"/>
                <w:lang w:val="en-US" w:eastAsia="zh-CN"/>
              </w:rPr>
              <w:t>每12dB衰减误差-0.1dB</w:t>
            </w:r>
          </w:p>
          <w:p>
            <w:pPr>
              <w:jc w:val="center"/>
              <w:rPr>
                <w:rFonts w:hint="default" w:ascii="Times New Roman" w:hAnsi="Times New Roman" w:cs="Times New Roman" w:eastAsiaTheme="minorEastAsia"/>
                <w:snapToGrid w:val="0"/>
                <w:w w:val="100"/>
                <w:kern w:val="0"/>
                <w:szCs w:val="24"/>
                <w:lang w:val="en-US" w:eastAsia="zh-CN"/>
              </w:rPr>
            </w:pPr>
            <w:r>
              <w:rPr>
                <w:rFonts w:hint="default" w:ascii="Times New Roman" w:hAnsi="Times New Roman" w:cs="Times New Roman"/>
                <w:snapToGrid w:val="0"/>
                <w:w w:val="100"/>
                <w:kern w:val="0"/>
                <w:szCs w:val="24"/>
              </w:rPr>
              <w:t>垂直线性误差：</w:t>
            </w:r>
            <w:r>
              <w:rPr>
                <w:rFonts w:hint="eastAsia" w:ascii="Times New Roman" w:hAnsi="Times New Roman" w:cs="Times New Roman"/>
                <w:snapToGrid w:val="0"/>
                <w:w w:val="100"/>
                <w:kern w:val="0"/>
                <w:szCs w:val="24"/>
                <w:lang w:val="en-US" w:eastAsia="zh-CN"/>
              </w:rPr>
              <w:t>1.7%</w:t>
            </w:r>
          </w:p>
          <w:p>
            <w:pPr>
              <w:jc w:val="center"/>
              <w:rPr>
                <w:rFonts w:hint="default" w:ascii="Times New Roman" w:hAnsi="Times New Roman" w:cs="Times New Roman" w:eastAsiaTheme="minorEastAsia"/>
                <w:snapToGrid w:val="0"/>
                <w:w w:val="100"/>
                <w:kern w:val="0"/>
                <w:szCs w:val="24"/>
                <w:lang w:val="en-US" w:eastAsia="zh-CN"/>
              </w:rPr>
            </w:pPr>
            <w:r>
              <w:rPr>
                <w:rFonts w:hint="default" w:ascii="Times New Roman" w:hAnsi="Times New Roman" w:cs="Times New Roman"/>
                <w:snapToGrid w:val="0"/>
                <w:w w:val="100"/>
                <w:kern w:val="0"/>
                <w:szCs w:val="24"/>
              </w:rPr>
              <w:t>动态范围：</w:t>
            </w:r>
            <w:r>
              <w:rPr>
                <w:rFonts w:hint="eastAsia" w:ascii="Times New Roman" w:hAnsi="Times New Roman" w:cs="Times New Roman"/>
                <w:snapToGrid w:val="0"/>
                <w:w w:val="100"/>
                <w:kern w:val="0"/>
                <w:szCs w:val="24"/>
                <w:lang w:val="en-US" w:eastAsia="zh-CN"/>
              </w:rPr>
              <w:t>36dB</w:t>
            </w:r>
          </w:p>
          <w:p>
            <w:pPr>
              <w:jc w:val="center"/>
              <w:rPr>
                <w:rFonts w:hint="eastAsia" w:ascii="Times New Roman" w:hAnsi="Times New Roman" w:cs="Times New Roman"/>
                <w:snapToGrid w:val="0"/>
                <w:w w:val="100"/>
                <w:kern w:val="0"/>
                <w:szCs w:val="24"/>
                <w:lang w:val="en-US" w:eastAsia="zh-CN"/>
              </w:rPr>
            </w:pPr>
            <w:r>
              <w:rPr>
                <w:rFonts w:hint="default" w:ascii="Times New Roman" w:hAnsi="Times New Roman" w:cs="Times New Roman"/>
                <w:snapToGrid w:val="0"/>
                <w:w w:val="100"/>
                <w:kern w:val="0"/>
                <w:szCs w:val="24"/>
              </w:rPr>
              <w:t>灵敏度余量：</w:t>
            </w:r>
            <w:r>
              <w:rPr>
                <w:rFonts w:hint="eastAsia" w:ascii="Times New Roman" w:hAnsi="Times New Roman" w:cs="Times New Roman"/>
                <w:snapToGrid w:val="0"/>
                <w:w w:val="100"/>
                <w:kern w:val="0"/>
                <w:szCs w:val="24"/>
                <w:lang w:val="en-US" w:eastAsia="zh-CN"/>
              </w:rPr>
              <w:t>56dB</w:t>
            </w:r>
            <w:r>
              <w:rPr>
                <w:rFonts w:hint="default" w:ascii="Times New Roman" w:hAnsi="Times New Roman" w:cs="Times New Roman"/>
                <w:snapToGrid w:val="0"/>
                <w:w w:val="100"/>
                <w:kern w:val="0"/>
                <w:szCs w:val="24"/>
              </w:rPr>
              <w:t>分辨力：</w:t>
            </w:r>
            <w:r>
              <w:rPr>
                <w:rFonts w:hint="eastAsia" w:ascii="Times New Roman" w:hAnsi="Times New Roman" w:cs="Times New Roman"/>
                <w:snapToGrid w:val="0"/>
                <w:w w:val="100"/>
                <w:kern w:val="0"/>
                <w:szCs w:val="24"/>
                <w:lang w:val="en-US" w:eastAsia="zh-CN"/>
              </w:rPr>
              <w:t>28dB</w:t>
            </w:r>
          </w:p>
          <w:p>
            <w:pPr>
              <w:jc w:val="center"/>
              <w:rPr>
                <w:rFonts w:hint="default" w:ascii="Times New Roman" w:hAnsi="Times New Roman" w:cs="Times New Roman" w:eastAsiaTheme="minorEastAsia"/>
                <w:snapToGrid w:val="0"/>
                <w:w w:val="100"/>
                <w:kern w:val="0"/>
                <w:sz w:val="21"/>
                <w:szCs w:val="24"/>
                <w:lang w:val="en-US" w:eastAsia="zh-CN" w:bidi="ar-SA"/>
              </w:rPr>
            </w:pPr>
            <w:r>
              <w:rPr>
                <w:rFonts w:hint="eastAsia" w:ascii="Times New Roman" w:hAnsi="Times New Roman" w:cs="Times New Roman"/>
                <w:snapToGrid w:val="0"/>
                <w:w w:val="100"/>
                <w:kern w:val="0"/>
                <w:szCs w:val="24"/>
                <w:lang w:val="en-US" w:eastAsia="zh-CN"/>
              </w:rPr>
              <w:t>电噪声电平：8%</w:t>
            </w:r>
          </w:p>
        </w:tc>
        <w:tc>
          <w:tcPr>
            <w:tcW w:w="1275" w:type="dxa"/>
            <w:vAlign w:val="center"/>
          </w:tcPr>
          <w:p>
            <w:pPr>
              <w:jc w:val="center"/>
              <w:rPr>
                <w:rFonts w:hint="eastAsia"/>
                <w:sz w:val="18"/>
                <w:szCs w:val="18"/>
                <w:lang w:val="en-US" w:eastAsia="zh-CN"/>
              </w:rPr>
            </w:pPr>
            <w:r>
              <w:rPr>
                <w:rFonts w:hint="eastAsia"/>
                <w:sz w:val="18"/>
                <w:szCs w:val="18"/>
                <w:lang w:val="en-US" w:eastAsia="zh-CN"/>
              </w:rPr>
              <w:t>超声探伤仪检定装置</w:t>
            </w:r>
          </w:p>
          <w:p>
            <w:pPr>
              <w:jc w:val="center"/>
              <w:rPr>
                <w:rFonts w:hint="eastAsia"/>
                <w:sz w:val="18"/>
                <w:szCs w:val="18"/>
                <w:vertAlign w:val="baseline"/>
                <w:lang w:val="en-US" w:eastAsia="zh-CN"/>
              </w:rPr>
            </w:pPr>
            <w:r>
              <w:rPr>
                <w:rFonts w:hint="eastAsia"/>
                <w:sz w:val="18"/>
                <w:szCs w:val="18"/>
                <w:lang w:val="en-US" w:eastAsia="zh-CN"/>
              </w:rPr>
              <w:t>频率准确度：1.5</w:t>
            </w:r>
            <w:r>
              <w:rPr>
                <w:rFonts w:hint="default" w:ascii="Arial" w:hAnsi="Arial" w:cs="Arial"/>
                <w:sz w:val="18"/>
                <w:szCs w:val="18"/>
                <w:lang w:val="en-US" w:eastAsia="zh-CN"/>
              </w:rPr>
              <w:t>×</w:t>
            </w:r>
            <w:r>
              <w:rPr>
                <w:rFonts w:hint="eastAsia"/>
                <w:sz w:val="18"/>
                <w:szCs w:val="18"/>
                <w:lang w:val="en-US" w:eastAsia="zh-CN"/>
              </w:rPr>
              <w:t>10</w:t>
            </w:r>
            <w:r>
              <w:rPr>
                <w:rFonts w:hint="eastAsia"/>
                <w:sz w:val="18"/>
                <w:szCs w:val="18"/>
                <w:vertAlign w:val="superscript"/>
                <w:lang w:val="en-US" w:eastAsia="zh-CN"/>
              </w:rPr>
              <w:t>-4</w:t>
            </w:r>
          </w:p>
          <w:p>
            <w:pPr>
              <w:jc w:val="center"/>
              <w:rPr>
                <w:rFonts w:hint="default" w:asciiTheme="minorHAnsi" w:hAnsiTheme="minorHAnsi" w:eastAsiaTheme="minorEastAsia" w:cstheme="minorBidi"/>
                <w:kern w:val="2"/>
                <w:sz w:val="18"/>
                <w:szCs w:val="18"/>
                <w:vertAlign w:val="baseline"/>
                <w:lang w:val="en-US" w:eastAsia="zh-CN" w:bidi="ar-SA"/>
              </w:rPr>
            </w:pPr>
            <w:r>
              <w:rPr>
                <w:rFonts w:hint="eastAsia"/>
                <w:sz w:val="18"/>
                <w:szCs w:val="18"/>
                <w:vertAlign w:val="baseline"/>
                <w:lang w:val="en-US" w:eastAsia="zh-CN"/>
              </w:rPr>
              <w:t>衰减器衰减误差（0.5%A±0.02）dBA-衰减量</w:t>
            </w:r>
          </w:p>
        </w:tc>
        <w:tc>
          <w:tcPr>
            <w:tcW w:w="1562" w:type="dxa"/>
            <w:vAlign w:val="center"/>
          </w:tcPr>
          <w:p>
            <w:pPr>
              <w:jc w:val="center"/>
              <w:rPr>
                <w:rFonts w:hint="default" w:asciiTheme="minorHAnsi" w:hAnsiTheme="minorHAnsi" w:eastAsiaTheme="minorEastAsia" w:cstheme="minorBidi"/>
                <w:kern w:val="2"/>
                <w:sz w:val="18"/>
                <w:szCs w:val="18"/>
                <w:lang w:val="en-US" w:eastAsia="zh-CN" w:bidi="ar-SA"/>
              </w:rPr>
            </w:pPr>
            <w:r>
              <w:rPr>
                <w:rFonts w:hint="eastAsia"/>
                <w:sz w:val="18"/>
                <w:szCs w:val="18"/>
                <w:lang w:val="en-US" w:eastAsia="zh-CN"/>
              </w:rPr>
              <w:t>东北国家计量测试中心辽宁省计量科学研究院</w:t>
            </w:r>
          </w:p>
        </w:tc>
        <w:tc>
          <w:tcPr>
            <w:tcW w:w="1276" w:type="dxa"/>
            <w:vAlign w:val="center"/>
          </w:tcPr>
          <w:p>
            <w:pPr>
              <w:jc w:val="center"/>
              <w:rPr>
                <w:rFonts w:hint="default" w:asciiTheme="minorHAnsi" w:hAnsiTheme="minorHAnsi" w:eastAsiaTheme="minorEastAsia" w:cstheme="minorBidi"/>
                <w:kern w:val="2"/>
                <w:sz w:val="18"/>
                <w:szCs w:val="18"/>
                <w:lang w:val="en-US" w:eastAsia="zh-CN" w:bidi="ar-SA"/>
              </w:rPr>
            </w:pPr>
            <w:r>
              <w:rPr>
                <w:rFonts w:hint="eastAsia"/>
                <w:sz w:val="18"/>
                <w:szCs w:val="18"/>
                <w:lang w:val="en-US" w:eastAsia="zh-CN"/>
              </w:rPr>
              <w:t>2022.2.22</w:t>
            </w:r>
          </w:p>
        </w:tc>
        <w:tc>
          <w:tcPr>
            <w:tcW w:w="1310" w:type="dxa"/>
            <w:vAlign w:val="top"/>
          </w:tcPr>
          <w:p>
            <w:pPr>
              <w:jc w:val="center"/>
              <w:rPr>
                <w:rFonts w:asciiTheme="minorHAnsi" w:hAnsiTheme="minorHAnsi" w:eastAsiaTheme="minorEastAsia" w:cstheme="minorBidi"/>
                <w:kern w:val="2"/>
                <w:sz w:val="18"/>
                <w:szCs w:val="18"/>
                <w:lang w:val="en-US" w:eastAsia="zh-CN" w:bidi="ar-SA"/>
              </w:rP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092" w:type="dxa"/>
            <w:vAlign w:val="center"/>
          </w:tcPr>
          <w:p>
            <w:pPr>
              <w:jc w:val="center"/>
              <w:rPr>
                <w:rFonts w:hint="default" w:eastAsiaTheme="minorEastAsia"/>
                <w:color w:val="auto"/>
                <w:sz w:val="18"/>
                <w:szCs w:val="18"/>
                <w:lang w:val="en-US" w:eastAsia="zh-CN"/>
              </w:rPr>
            </w:pPr>
            <w:r>
              <w:rPr>
                <w:rFonts w:hint="eastAsia"/>
                <w:color w:val="auto"/>
                <w:sz w:val="18"/>
                <w:szCs w:val="18"/>
                <w:lang w:val="en-US" w:eastAsia="zh-CN"/>
              </w:rPr>
              <w:t>生产技术部</w:t>
            </w:r>
          </w:p>
        </w:tc>
        <w:tc>
          <w:tcPr>
            <w:tcW w:w="1176" w:type="dxa"/>
            <w:vAlign w:val="center"/>
          </w:tcPr>
          <w:p>
            <w:pPr>
              <w:jc w:val="center"/>
              <w:rPr>
                <w:rFonts w:hint="default" w:eastAsiaTheme="minorEastAsia"/>
                <w:color w:val="auto"/>
                <w:sz w:val="18"/>
                <w:szCs w:val="18"/>
                <w:lang w:val="en-US" w:eastAsia="zh-CN"/>
              </w:rPr>
            </w:pPr>
            <w:r>
              <w:rPr>
                <w:rFonts w:hint="eastAsia"/>
                <w:color w:val="auto"/>
                <w:sz w:val="18"/>
                <w:szCs w:val="18"/>
                <w:lang w:val="en-US" w:eastAsia="zh-CN"/>
              </w:rPr>
              <w:t>压力表</w:t>
            </w:r>
          </w:p>
        </w:tc>
        <w:tc>
          <w:tcPr>
            <w:tcW w:w="1234" w:type="dxa"/>
          </w:tcPr>
          <w:p>
            <w:pPr>
              <w:jc w:val="center"/>
              <w:rPr>
                <w:rFonts w:hint="default" w:eastAsiaTheme="minorEastAsia"/>
                <w:sz w:val="18"/>
                <w:szCs w:val="18"/>
                <w:lang w:val="en-US" w:eastAsia="zh-CN"/>
              </w:rPr>
            </w:pPr>
            <w:r>
              <w:rPr>
                <w:rFonts w:hint="eastAsia"/>
                <w:sz w:val="18"/>
                <w:szCs w:val="18"/>
                <w:lang w:val="en-US" w:eastAsia="zh-CN"/>
              </w:rPr>
              <w:t>16</w:t>
            </w:r>
          </w:p>
        </w:tc>
        <w:tc>
          <w:tcPr>
            <w:tcW w:w="1032" w:type="dxa"/>
            <w:vAlign w:val="center"/>
          </w:tcPr>
          <w:p>
            <w:pPr>
              <w:jc w:val="center"/>
              <w:rPr>
                <w:rFonts w:hint="default" w:eastAsiaTheme="minorEastAsia"/>
                <w:sz w:val="18"/>
                <w:szCs w:val="18"/>
                <w:lang w:val="en-US" w:eastAsia="zh-CN"/>
              </w:rPr>
            </w:pPr>
            <w:r>
              <w:rPr>
                <w:rFonts w:hint="eastAsia"/>
                <w:sz w:val="18"/>
                <w:szCs w:val="18"/>
                <w:lang w:val="en-US" w:eastAsia="zh-CN"/>
              </w:rPr>
              <w:t>0-1.6MPa</w:t>
            </w:r>
          </w:p>
        </w:tc>
        <w:tc>
          <w:tcPr>
            <w:tcW w:w="1275" w:type="dxa"/>
            <w:vAlign w:val="center"/>
          </w:tcPr>
          <w:p>
            <w:pPr>
              <w:jc w:val="center"/>
              <w:rPr>
                <w:rFonts w:hint="default" w:eastAsiaTheme="minorEastAsia"/>
                <w:sz w:val="18"/>
                <w:szCs w:val="18"/>
                <w:lang w:val="en-US" w:eastAsia="zh-CN"/>
              </w:rPr>
            </w:pPr>
            <w:r>
              <w:rPr>
                <w:rFonts w:hint="eastAsia"/>
                <w:sz w:val="18"/>
                <w:szCs w:val="18"/>
                <w:lang w:val="en-US" w:eastAsia="zh-CN"/>
              </w:rPr>
              <w:t>1.6级</w:t>
            </w:r>
          </w:p>
        </w:tc>
        <w:tc>
          <w:tcPr>
            <w:tcW w:w="1275" w:type="dxa"/>
            <w:vAlign w:val="center"/>
          </w:tcPr>
          <w:p>
            <w:pPr>
              <w:jc w:val="center"/>
              <w:rPr>
                <w:rFonts w:hint="default" w:eastAsiaTheme="minorEastAsia"/>
                <w:sz w:val="18"/>
                <w:szCs w:val="18"/>
                <w:lang w:val="en-US" w:eastAsia="zh-CN"/>
              </w:rPr>
            </w:pPr>
            <w:r>
              <w:rPr>
                <w:rFonts w:hint="eastAsia"/>
                <w:sz w:val="18"/>
                <w:szCs w:val="18"/>
                <w:lang w:val="en-US" w:eastAsia="zh-CN"/>
              </w:rPr>
              <w:t>压力表校验装置0.2级</w:t>
            </w:r>
          </w:p>
        </w:tc>
        <w:tc>
          <w:tcPr>
            <w:tcW w:w="1562" w:type="dxa"/>
            <w:vAlign w:val="center"/>
          </w:tcPr>
          <w:p>
            <w:pPr>
              <w:jc w:val="center"/>
              <w:rPr>
                <w:sz w:val="18"/>
                <w:szCs w:val="18"/>
              </w:rPr>
            </w:pPr>
            <w:r>
              <w:rPr>
                <w:rFonts w:hint="eastAsia"/>
                <w:sz w:val="18"/>
                <w:szCs w:val="18"/>
                <w:lang w:val="en-US" w:eastAsia="zh-CN"/>
              </w:rPr>
              <w:t>通化市计量检定测试所</w:t>
            </w:r>
          </w:p>
        </w:tc>
        <w:tc>
          <w:tcPr>
            <w:tcW w:w="1276" w:type="dxa"/>
            <w:vAlign w:val="center"/>
          </w:tcPr>
          <w:p>
            <w:pPr>
              <w:jc w:val="center"/>
              <w:rPr>
                <w:rFonts w:hint="default" w:eastAsiaTheme="minorEastAsia"/>
                <w:sz w:val="18"/>
                <w:szCs w:val="18"/>
                <w:lang w:val="en-US" w:eastAsia="zh-CN"/>
              </w:rPr>
            </w:pPr>
            <w:r>
              <w:rPr>
                <w:rFonts w:hint="eastAsia"/>
                <w:sz w:val="18"/>
                <w:szCs w:val="18"/>
                <w:lang w:val="en-US" w:eastAsia="zh-CN"/>
              </w:rPr>
              <w:t>2022.6.22</w:t>
            </w:r>
          </w:p>
        </w:tc>
        <w:tc>
          <w:tcPr>
            <w:tcW w:w="1310" w:type="dxa"/>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jc w:val="center"/>
        </w:trPr>
        <w:tc>
          <w:tcPr>
            <w:tcW w:w="11232" w:type="dxa"/>
            <w:gridSpan w:val="9"/>
          </w:tcPr>
          <w:p>
            <w:pPr>
              <w:rPr>
                <w:rFonts w:ascii="Times New Roman" w:hAnsi="Times New Roman" w:eastAsia="宋体" w:cs="Times New Roman"/>
                <w:szCs w:val="21"/>
              </w:rPr>
            </w:pPr>
            <w:r>
              <w:rPr>
                <w:rFonts w:hint="eastAsia" w:ascii="Times New Roman" w:hAnsi="Times New Roman" w:eastAsia="宋体" w:cs="Times New Roman"/>
                <w:szCs w:val="21"/>
              </w:rPr>
              <w:t>审核综合意見：</w:t>
            </w:r>
          </w:p>
          <w:p>
            <w:pPr>
              <w:rPr>
                <w:rFonts w:ascii="宋体" w:hAnsi="宋体"/>
                <w:szCs w:val="21"/>
              </w:rPr>
            </w:pPr>
          </w:p>
          <w:p>
            <w:pPr>
              <w:widowControl/>
              <w:jc w:val="left"/>
              <w:rPr>
                <w:rFonts w:hint="eastAsia" w:ascii="宋体" w:hAnsi="宋体" w:eastAsia="宋体" w:cs="宋体"/>
                <w:color w:val="auto"/>
                <w:kern w:val="0"/>
                <w:szCs w:val="21"/>
              </w:rPr>
            </w:pPr>
            <w:r>
              <w:rPr>
                <w:rFonts w:hint="eastAsia" w:ascii="宋体" w:hAnsi="宋体" w:eastAsia="宋体" w:cs="宋体"/>
                <w:color w:val="auto"/>
                <w:kern w:val="0"/>
                <w:szCs w:val="21"/>
              </w:rPr>
              <w:t>公司已制定《计量确认管理程序》、《外部供方管理程序》，《测量设备溯源管理程序》，公司</w:t>
            </w:r>
            <w:r>
              <w:rPr>
                <w:rFonts w:hint="eastAsia" w:ascii="宋体" w:hAnsi="宋体" w:eastAsia="宋体" w:cs="宋体"/>
                <w:b/>
                <w:bCs/>
                <w:color w:val="auto"/>
                <w:kern w:val="0"/>
                <w:szCs w:val="21"/>
              </w:rPr>
              <w:t>已</w:t>
            </w:r>
            <w:r>
              <w:rPr>
                <w:rFonts w:hint="eastAsia" w:ascii="宋体" w:hAnsi="宋体" w:eastAsia="宋体" w:cs="宋体"/>
                <w:color w:val="auto"/>
                <w:kern w:val="0"/>
                <w:szCs w:val="21"/>
              </w:rPr>
              <w:t>建最高计量标准</w:t>
            </w:r>
            <w:r>
              <w:rPr>
                <w:rFonts w:hint="eastAsia" w:ascii="宋体" w:hAnsi="宋体" w:eastAsia="宋体" w:cs="宋体"/>
                <w:color w:val="auto"/>
                <w:kern w:val="0"/>
                <w:szCs w:val="21"/>
                <w:lang w:val="en-US" w:eastAsia="zh-CN"/>
              </w:rPr>
              <w:t>3</w:t>
            </w:r>
            <w:r>
              <w:rPr>
                <w:rFonts w:hint="eastAsia" w:ascii="宋体" w:hAnsi="宋体" w:eastAsia="宋体" w:cs="宋体"/>
                <w:color w:val="auto"/>
                <w:kern w:val="0"/>
                <w:szCs w:val="21"/>
              </w:rPr>
              <w:t>项，测量设备由</w:t>
            </w:r>
            <w:r>
              <w:rPr>
                <w:rFonts w:hint="eastAsia" w:ascii="宋体" w:hAnsi="宋体" w:eastAsia="宋体" w:cs="宋体"/>
                <w:color w:val="auto"/>
                <w:kern w:val="0"/>
                <w:szCs w:val="21"/>
                <w:lang w:val="en-US" w:eastAsia="zh-CN"/>
              </w:rPr>
              <w:t>质量管理部</w:t>
            </w:r>
            <w:r>
              <w:rPr>
                <w:rFonts w:hint="eastAsia" w:ascii="宋体" w:hAnsi="宋体" w:eastAsia="宋体" w:cs="宋体"/>
                <w:color w:val="auto"/>
                <w:kern w:val="0"/>
                <w:szCs w:val="21"/>
              </w:rPr>
              <w:t>负责溯源。公司测量设备除自检外全部委</w:t>
            </w:r>
            <w:r>
              <w:rPr>
                <w:rFonts w:hint="eastAsia" w:ascii="宋体" w:hAnsi="宋体" w:eastAsia="宋体" w:cs="宋体"/>
                <w:color w:val="auto"/>
                <w:kern w:val="0"/>
                <w:szCs w:val="21"/>
              </w:rPr>
              <w:t>托</w:t>
            </w:r>
            <w:r>
              <w:rPr>
                <w:rFonts w:hint="eastAsia" w:ascii="宋体" w:hAnsi="宋体" w:eastAsia="宋体" w:cs="宋体"/>
                <w:color w:val="auto"/>
                <w:kern w:val="0"/>
                <w:szCs w:val="21"/>
                <w:lang w:val="en-US" w:eastAsia="zh-CN"/>
              </w:rPr>
              <w:t>广东中准检测有限公司，通化市计量检定测试所及东北国家计量测试中心辽宁省计量科学研究院</w:t>
            </w:r>
            <w:r>
              <w:rPr>
                <w:rFonts w:hint="eastAsia" w:ascii="宋体" w:hAnsi="宋体" w:eastAsia="宋体" w:cs="宋体"/>
                <w:color w:val="auto"/>
                <w:kern w:val="0"/>
                <w:szCs w:val="21"/>
              </w:rPr>
              <w:t>等机构检定/校准，校准/检定证书由</w:t>
            </w:r>
            <w:r>
              <w:rPr>
                <w:rFonts w:hint="eastAsia" w:ascii="宋体" w:hAnsi="宋体" w:eastAsia="宋体" w:cs="宋体"/>
                <w:color w:val="auto"/>
                <w:kern w:val="0"/>
                <w:szCs w:val="21"/>
                <w:lang w:val="en-US" w:eastAsia="zh-CN"/>
              </w:rPr>
              <w:t>质量管理部</w:t>
            </w:r>
            <w:r>
              <w:rPr>
                <w:rFonts w:hint="eastAsia" w:ascii="宋体" w:hAnsi="宋体" w:eastAsia="宋体" w:cs="宋体"/>
                <w:color w:val="auto"/>
                <w:kern w:val="0"/>
                <w:szCs w:val="21"/>
              </w:rPr>
              <w:t>保存。根据抽查情况，该公司的校准情况符合溯源性要求。</w:t>
            </w:r>
          </w:p>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1232" w:type="dxa"/>
            <w:gridSpan w:val="9"/>
          </w:tcPr>
          <w:p>
            <w:pPr>
              <w:spacing w:line="360" w:lineRule="auto"/>
              <w:rPr>
                <w:rFonts w:ascii="Times New Roman" w:hAnsi="Times New Roman" w:eastAsia="宋体" w:cs="Times New Roman"/>
                <w:szCs w:val="21"/>
              </w:rPr>
            </w:pPr>
            <w:r>
              <w:rPr>
                <w:rFonts w:hint="eastAsia" w:ascii="宋体" w:hAnsi="宋体" w:eastAsia="宋体" w:cs="Times New Roman"/>
                <w:szCs w:val="21"/>
              </w:rPr>
              <w:t>审核</w:t>
            </w:r>
            <w:r>
              <w:rPr>
                <w:rFonts w:hint="eastAsia" w:ascii="Times New Roman" w:hAnsi="Times New Roman" w:eastAsia="宋体" w:cs="Times New Roman"/>
                <w:szCs w:val="21"/>
              </w:rPr>
              <w:t xml:space="preserve">日期： </w:t>
            </w:r>
            <w:r>
              <w:rPr>
                <w:rFonts w:hint="eastAsia" w:ascii="Times New Roman" w:hAnsi="Times New Roman" w:eastAsia="宋体" w:cs="Times New Roman"/>
                <w:szCs w:val="21"/>
                <w:lang w:val="en-US" w:eastAsia="zh-CN"/>
              </w:rPr>
              <w:t>2022</w:t>
            </w:r>
            <w:r>
              <w:rPr>
                <w:rFonts w:hint="eastAsia" w:ascii="Times New Roman" w:hAnsi="Times New Roman" w:eastAsia="宋体" w:cs="Times New Roman"/>
                <w:szCs w:val="21"/>
              </w:rPr>
              <w:t xml:space="preserve">  年 </w:t>
            </w:r>
            <w:r>
              <w:rPr>
                <w:rFonts w:hint="eastAsia" w:ascii="Times New Roman" w:hAnsi="Times New Roman" w:eastAsia="宋体" w:cs="Times New Roman"/>
                <w:szCs w:val="21"/>
                <w:lang w:val="en-US" w:eastAsia="zh-CN"/>
              </w:rPr>
              <w:t>10</w:t>
            </w:r>
            <w:r>
              <w:rPr>
                <w:rFonts w:hint="eastAsia" w:ascii="Times New Roman" w:hAnsi="Times New Roman" w:eastAsia="宋体" w:cs="Times New Roman"/>
                <w:szCs w:val="21"/>
              </w:rPr>
              <w:t xml:space="preserve">  月 </w:t>
            </w:r>
            <w:r>
              <w:rPr>
                <w:rFonts w:hint="eastAsia" w:ascii="Times New Roman" w:hAnsi="Times New Roman" w:eastAsia="宋体" w:cs="Times New Roman"/>
                <w:szCs w:val="21"/>
                <w:lang w:val="en-US" w:eastAsia="zh-CN"/>
              </w:rPr>
              <w:t>11</w:t>
            </w:r>
            <w:r>
              <w:rPr>
                <w:rFonts w:hint="eastAsia" w:ascii="Times New Roman" w:hAnsi="Times New Roman" w:eastAsia="宋体" w:cs="Times New Roman"/>
                <w:szCs w:val="21"/>
              </w:rPr>
              <w:t xml:space="preserve">  日</w:t>
            </w:r>
            <w:r>
              <w:rPr>
                <w:rFonts w:ascii="Times New Roman" w:hAnsi="Times New Roman" w:eastAsia="宋体" w:cs="Times New Roman"/>
                <w:szCs w:val="21"/>
              </w:rPr>
              <w:t>~</w:t>
            </w:r>
            <w:r>
              <w:rPr>
                <w:rFonts w:hint="eastAsia" w:ascii="Times New Roman" w:hAnsi="Times New Roman" w:eastAsia="宋体" w:cs="Times New Roman"/>
                <w:szCs w:val="21"/>
              </w:rPr>
              <w:t xml:space="preserve"> </w:t>
            </w:r>
            <w:r>
              <w:rPr>
                <w:rFonts w:hint="eastAsia" w:ascii="Times New Roman" w:hAnsi="Times New Roman" w:eastAsia="宋体" w:cs="Times New Roman"/>
                <w:szCs w:val="21"/>
                <w:lang w:val="en-US" w:eastAsia="zh-CN"/>
              </w:rPr>
              <w:t>10</w:t>
            </w:r>
            <w:r>
              <w:rPr>
                <w:rFonts w:hint="eastAsia" w:ascii="Times New Roman" w:hAnsi="Times New Roman" w:eastAsia="宋体" w:cs="Times New Roman"/>
                <w:szCs w:val="21"/>
              </w:rPr>
              <w:t xml:space="preserve">  月 </w:t>
            </w:r>
            <w:r>
              <w:rPr>
                <w:rFonts w:hint="eastAsia" w:ascii="Times New Roman" w:hAnsi="Times New Roman" w:eastAsia="宋体" w:cs="Times New Roman"/>
                <w:szCs w:val="21"/>
                <w:lang w:val="en-US" w:eastAsia="zh-CN"/>
              </w:rPr>
              <w:t>12</w:t>
            </w:r>
            <w:r>
              <w:rPr>
                <w:rFonts w:hint="eastAsia" w:ascii="Times New Roman" w:hAnsi="Times New Roman" w:eastAsia="宋体" w:cs="Times New Roman"/>
                <w:szCs w:val="21"/>
              </w:rPr>
              <w:t xml:space="preserve">    日</w:t>
            </w:r>
            <w:r>
              <w:rPr>
                <w:rFonts w:hint="eastAsia" w:ascii="Times New Roman" w:hAnsi="Times New Roman" w:eastAsia="宋体" w:cs="Times New Roman"/>
                <w:szCs w:val="21"/>
                <w:lang w:val="en-US" w:eastAsia="zh-CN"/>
              </w:rPr>
              <w:t>上午</w:t>
            </w:r>
            <w:r>
              <w:rPr>
                <w:rFonts w:hint="eastAsia" w:ascii="Times New Roman" w:hAnsi="Times New Roman" w:eastAsia="宋体" w:cs="Times New Roman"/>
                <w:szCs w:val="21"/>
              </w:rPr>
              <w:t xml:space="preserve"> </w:t>
            </w:r>
          </w:p>
          <w:p>
            <w:pPr>
              <w:spacing w:line="360" w:lineRule="auto"/>
              <w:rPr>
                <w:rFonts w:ascii="Times New Roman" w:hAnsi="Times New Roman" w:eastAsia="宋体" w:cs="Times New Roman"/>
                <w:color w:val="0000FF"/>
                <w:szCs w:val="21"/>
              </w:rPr>
            </w:pPr>
            <w:r>
              <w:rPr>
                <w:rFonts w:hint="eastAsia" w:ascii="宋体" w:hAnsi="宋体" w:eastAsia="宋体" w:cs="Times New Roman"/>
                <w:szCs w:val="21"/>
              </w:rPr>
              <w:t>审核</w:t>
            </w:r>
            <w:r>
              <w:rPr>
                <w:rFonts w:hint="eastAsia" w:ascii="Times New Roman" w:hAnsi="Times New Roman" w:eastAsia="宋体" w:cs="Times New Roman"/>
                <w:szCs w:val="21"/>
              </w:rPr>
              <w:t>员签字：</w:t>
            </w:r>
            <w:r>
              <w:rPr>
                <w:rFonts w:hint="eastAsia"/>
              </w:rPr>
              <w:drawing>
                <wp:inline distT="0" distB="0" distL="114300" distR="114300">
                  <wp:extent cx="526415" cy="248285"/>
                  <wp:effectExtent l="0" t="0" r="6985" b="5715"/>
                  <wp:docPr id="2" name="图片 2" descr="f1698fea543c1f5e2dd097ae1750c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1698fea543c1f5e2dd097ae1750c2b"/>
                          <pic:cNvPicPr>
                            <a:picLocks noChangeAspect="1"/>
                          </pic:cNvPicPr>
                        </pic:nvPicPr>
                        <pic:blipFill>
                          <a:blip r:embed="rId6"/>
                          <a:stretch>
                            <a:fillRect/>
                          </a:stretch>
                        </pic:blipFill>
                        <pic:spPr>
                          <a:xfrm>
                            <a:off x="0" y="0"/>
                            <a:ext cx="526415" cy="248285"/>
                          </a:xfrm>
                          <a:prstGeom prst="rect">
                            <a:avLst/>
                          </a:prstGeom>
                        </pic:spPr>
                      </pic:pic>
                    </a:graphicData>
                  </a:graphic>
                </wp:inline>
              </w:drawing>
            </w:r>
            <w:r>
              <w:rPr>
                <w:rFonts w:hint="eastAsia" w:ascii="Times New Roman" w:hAnsi="Times New Roman" w:eastAsia="宋体" w:cs="Times New Roman"/>
                <w:szCs w:val="21"/>
              </w:rPr>
              <w:t xml:space="preserve">                               部门代表签字：</w:t>
            </w:r>
            <w:r>
              <w:rPr>
                <w:rFonts w:ascii="宋体" w:hAnsi="宋体" w:cs="宋体"/>
                <w:kern w:val="0"/>
                <w:szCs w:val="21"/>
              </w:rPr>
              <w:drawing>
                <wp:inline distT="0" distB="0" distL="114300" distR="114300">
                  <wp:extent cx="503555" cy="412750"/>
                  <wp:effectExtent l="0" t="0" r="4445" b="6350"/>
                  <wp:docPr id="3" name="图片 3" descr="a0ad278b94fb916495dc4c333714d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0ad278b94fb916495dc4c333714d61"/>
                          <pic:cNvPicPr>
                            <a:picLocks noChangeAspect="1"/>
                          </pic:cNvPicPr>
                        </pic:nvPicPr>
                        <pic:blipFill>
                          <a:blip r:embed="rId7">
                            <a:biLevel thresh="50000"/>
                          </a:blip>
                          <a:srcRect l="32145" t="45096" r="6340" b="26585"/>
                          <a:stretch>
                            <a:fillRect/>
                          </a:stretch>
                        </pic:blipFill>
                        <pic:spPr>
                          <a:xfrm>
                            <a:off x="0" y="0"/>
                            <a:ext cx="503555" cy="412750"/>
                          </a:xfrm>
                          <a:prstGeom prst="rect">
                            <a:avLst/>
                          </a:prstGeom>
                        </pic:spPr>
                      </pic:pic>
                    </a:graphicData>
                  </a:graphic>
                </wp:inline>
              </w:drawing>
            </w:r>
            <w:bookmarkStart w:id="2" w:name="_GoBack"/>
            <w:bookmarkEnd w:id="2"/>
            <w:r>
              <w:rPr>
                <w:rFonts w:ascii="Times New Roman" w:hAnsi="Times New Roman" w:eastAsia="宋体" w:cs="Times New Roman"/>
                <w:color w:val="0000FF"/>
                <w:szCs w:val="21"/>
              </w:rPr>
              <w:t xml:space="preserve"> </w:t>
            </w:r>
          </w:p>
          <w:p>
            <w:pPr>
              <w:rPr>
                <w:rFonts w:ascii="Times New Roman" w:hAnsi="Times New Roman" w:eastAsia="宋体" w:cs="Times New Roman"/>
                <w:szCs w:val="21"/>
              </w:rPr>
            </w:pPr>
          </w:p>
        </w:tc>
      </w:tr>
    </w:tbl>
    <w:p/>
    <w:p>
      <w:r>
        <w:rPr>
          <w:rFonts w:hint="eastAsia"/>
        </w:rPr>
        <w:t>说明：“计量特性”可以填写测量设备的最大允差、准确度等级或校准结果的测量不确定度。</w:t>
      </w:r>
    </w:p>
    <w:sectPr>
      <w:headerReference r:id="rId3" w:type="default"/>
      <w:footerReference r:id="rId4" w:type="default"/>
      <w:pgSz w:w="11906" w:h="16838"/>
      <w:pgMar w:top="720" w:right="720" w:bottom="720" w:left="720" w:header="0" w:footer="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3168"/>
      </w:tabs>
      <w:spacing w:line="320" w:lineRule="exact"/>
      <w:ind w:left="-86" w:leftChars="-41" w:firstLine="720" w:firstLineChars="400"/>
      <w:jc w:val="left"/>
    </w:pPr>
    <w:r>
      <w:drawing>
        <wp:anchor distT="0" distB="0" distL="114300" distR="114300" simplePos="0" relativeHeight="251661312" behindDoc="0" locked="0" layoutInCell="1" allowOverlap="1">
          <wp:simplePos x="0" y="0"/>
          <wp:positionH relativeFrom="column">
            <wp:posOffset>-21590</wp:posOffset>
          </wp:positionH>
          <wp:positionV relativeFrom="paragraph">
            <wp:posOffset>153035</wp:posOffset>
          </wp:positionV>
          <wp:extent cx="478155" cy="482600"/>
          <wp:effectExtent l="19050" t="0" r="0" b="0"/>
          <wp:wrapTopAndBottom/>
          <wp:docPr id="4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4"/>
      <w:pBdr>
        <w:bottom w:val="none" w:color="auto" w:sz="0" w:space="0"/>
      </w:pBdr>
      <w:spacing w:line="320" w:lineRule="exact"/>
      <w:ind w:left="-1023" w:leftChars="-487" w:firstLine="1793" w:firstLineChars="854"/>
      <w:jc w:val="left"/>
      <w:rPr>
        <w:rStyle w:val="11"/>
        <w:rFonts w:hint="default" w:ascii="Times New Roman" w:hAnsi="Times New Roman" w:cs="Times New Roman"/>
        <w:szCs w:val="21"/>
      </w:rPr>
    </w:pPr>
    <w:r>
      <w:rPr>
        <w:rFonts w:ascii="Times New Roman" w:hAnsi="Times New Roman" w:cs="Times New Roman"/>
        <w:sz w:val="21"/>
        <w:szCs w:val="21"/>
      </w:rPr>
      <w:pict>
        <v:shape id="_x0000_s2049" o:spid="_x0000_s2049" o:spt="202" type="#_x0000_t202" style="position:absolute;left:0pt;margin-left:309.75pt;margin-top:6pt;height:20.6pt;width:215.85pt;z-index:251659264;mso-width-relative:page;mso-height-relative:page;" stroked="f" coordsize="21600,21600">
          <v:path/>
          <v:fill focussize="0,0"/>
          <v:stroke on="f" joinstyle="miter"/>
          <v:imagedata o:title=""/>
          <o:lock v:ext="edit"/>
          <v:textbox>
            <w:txbxContent>
              <w:p>
                <w:pPr>
                  <w:rPr>
                    <w:rFonts w:ascii="Times New Roman" w:hAnsi="Times New Roman" w:cs="Times New Roman"/>
                    <w:szCs w:val="21"/>
                  </w:rPr>
                </w:pPr>
                <w:r>
                  <w:rPr>
                    <w:rFonts w:ascii="Times New Roman" w:hAnsi="Times New Roman" w:cs="Times New Roman"/>
                    <w:szCs w:val="21"/>
                  </w:rPr>
                  <w:t>ISC-A-I</w:t>
                </w:r>
                <w:r>
                  <w:rPr>
                    <w:rFonts w:hint="eastAsia" w:ascii="Times New Roman" w:hAnsi="Times New Roman" w:cs="Times New Roman"/>
                    <w:szCs w:val="21"/>
                  </w:rPr>
                  <w:t>I</w:t>
                </w:r>
                <w:r>
                  <w:rPr>
                    <w:rFonts w:ascii="Times New Roman" w:hAnsi="Times New Roman" w:cs="Times New Roman"/>
                    <w:szCs w:val="21"/>
                  </w:rPr>
                  <w:t>-</w:t>
                </w:r>
                <w:r>
                  <w:rPr>
                    <w:rFonts w:hint="eastAsia" w:ascii="Times New Roman" w:hAnsi="Times New Roman" w:cs="Times New Roman"/>
                    <w:szCs w:val="21"/>
                  </w:rPr>
                  <w:t>06</w:t>
                </w:r>
                <w:r>
                  <w:rPr>
                    <w:rFonts w:ascii="Times New Roman" w:hAnsi="Times New Roman" w:cs="Times New Roman"/>
                    <w:szCs w:val="21"/>
                  </w:rPr>
                  <w:t>测量设备溯源抽查表</w:t>
                </w:r>
                <w:r>
                  <w:rPr>
                    <w:rFonts w:hint="eastAsia" w:ascii="Times New Roman" w:hAnsi="Times New Roman" w:cs="Times New Roman"/>
                    <w:szCs w:val="21"/>
                  </w:rPr>
                  <w:t>（07版）</w:t>
                </w:r>
              </w:p>
            </w:txbxContent>
          </v:textbox>
        </v:shape>
      </w:pict>
    </w:r>
    <w:r>
      <w:rPr>
        <w:rStyle w:val="11"/>
        <w:rFonts w:hint="default" w:ascii="Times New Roman" w:hAnsi="Times New Roman" w:cs="Times New Roman"/>
        <w:szCs w:val="21"/>
      </w:rPr>
      <w:t>北京国标联合认证有限公司</w:t>
    </w:r>
  </w:p>
  <w:p>
    <w:pPr>
      <w:pStyle w:val="4"/>
      <w:pBdr>
        <w:bottom w:val="none" w:color="auto" w:sz="0" w:space="0"/>
      </w:pBdr>
      <w:spacing w:line="320" w:lineRule="exact"/>
      <w:ind w:firstLine="756" w:firstLineChars="450"/>
      <w:jc w:val="left"/>
    </w:pPr>
    <w:r>
      <w:rPr>
        <w:rStyle w:val="11"/>
        <w:rFonts w:hint="default" w:ascii="Times New Roman" w:hAnsi="Times New Roman" w:cs="Times New Roman"/>
        <w:w w:val="80"/>
        <w:szCs w:val="21"/>
      </w:rPr>
      <w:t>Beijing International Standard united Certification Co.,Ltd.</w:t>
    </w:r>
  </w:p>
  <w:p>
    <w:r>
      <w:pict>
        <v:shape id="直接连接符 3" o:spid="_x0000_s2050" o:spt="32" type="#_x0000_t32" style="position:absolute;left:0pt;margin-left:-0.45pt;margin-top:3pt;height:0pt;width:526.05pt;z-index:251660288;mso-width-relative:page;mso-height-relative:page;" filled="f" coordsize="21600,21600" adj="-1460,-1,-146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直接连接符 3"/>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RjZGZiMWRlMjcxMTI2YWQ3MWVkMTVjMTcyZTdkOTkifQ=="/>
  </w:docVars>
  <w:rsids>
    <w:rsidRoot w:val="00000000"/>
    <w:rsid w:val="287632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列出段落1"/>
    <w:basedOn w:val="1"/>
    <w:qFormat/>
    <w:uiPriority w:val="34"/>
    <w:pPr>
      <w:ind w:firstLine="420" w:firstLineChars="200"/>
    </w:p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346</Words>
  <Characters>368</Characters>
  <Lines>3</Lines>
  <Paragraphs>1</Paragraphs>
  <TotalTime>0</TotalTime>
  <ScaleCrop>false</ScaleCrop>
  <LinksUpToDate>false</LinksUpToDate>
  <CharactersWithSpaces>419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2015-11-02T14:51:00Z</dcterms:created>
  <dc:creator>alexander chang</dc:creator>
  <cp:lastModifiedBy>yingjie</cp:lastModifiedBy>
  <dcterms:modified xsi:type="dcterms:W3CDTF">2022-10-11T08:24:10Z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81C4958ED0A54DC9A980C7C465EC2A98</vt:lpwstr>
  </property>
</Properties>
</file>