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1064-2022-QEOFH</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邢台外嘙桥餐饮中心邢台开发区分部</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邢台外嘙桥餐饮中心邢台开发区分部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河北省邢台市经济开发区王快镇西楼下社区兴泰大街与建业路交叉口西行50米路北院内001号</w:t>
            </w:r>
            <w:bookmarkEnd w:id="6"/>
          </w:p>
        </w:tc>
        <w:tc>
          <w:tcPr>
            <w:tcW w:w="1242" w:type="dxa"/>
            <w:vMerge w:val="restart"/>
            <w:vAlign w:val="center"/>
          </w:tcPr>
          <w:p>
            <w:r>
              <w:rPr>
                <w:rFonts w:hint="eastAsia"/>
              </w:rPr>
              <w:t>邮编</w:t>
            </w:r>
          </w:p>
        </w:tc>
        <w:tc>
          <w:tcPr>
            <w:tcW w:w="1771" w:type="dxa"/>
          </w:tcPr>
          <w:p>
            <w:bookmarkStart w:id="7" w:name="注册邮编"/>
            <w:r>
              <w:t>054000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河北省邢台市经济开发区王快镇西楼下社区兴泰大街与建业路交叉口西行50米路北院内001号</w:t>
            </w:r>
            <w:bookmarkEnd w:id="8"/>
          </w:p>
        </w:tc>
        <w:tc>
          <w:tcPr>
            <w:tcW w:w="1242" w:type="dxa"/>
            <w:vMerge w:val="continue"/>
            <w:vAlign w:val="center"/>
          </w:tcPr>
          <w:p/>
        </w:tc>
        <w:tc>
          <w:tcPr>
            <w:tcW w:w="1771" w:type="dxa"/>
          </w:tcPr>
          <w:p>
            <w:bookmarkStart w:id="9" w:name="办公邮编"/>
            <w:r>
              <w:t>054000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张利虎</w:t>
            </w:r>
            <w:bookmarkEnd w:id="10"/>
          </w:p>
        </w:tc>
        <w:tc>
          <w:tcPr>
            <w:tcW w:w="1313" w:type="dxa"/>
            <w:vAlign w:val="center"/>
          </w:tcPr>
          <w:p>
            <w:r>
              <w:rPr>
                <w:rFonts w:hint="eastAsia"/>
              </w:rPr>
              <w:t>电话.</w:t>
            </w:r>
          </w:p>
        </w:tc>
        <w:tc>
          <w:tcPr>
            <w:tcW w:w="2180" w:type="dxa"/>
            <w:vAlign w:val="center"/>
          </w:tcPr>
          <w:p>
            <w:bookmarkStart w:id="11" w:name="联系人电话"/>
            <w:r>
              <w:t>15930942416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王娟</w:t>
            </w:r>
            <w:bookmarkEnd w:id="13"/>
          </w:p>
        </w:tc>
        <w:tc>
          <w:tcPr>
            <w:tcW w:w="1313" w:type="dxa"/>
            <w:vAlign w:val="center"/>
          </w:tcPr>
          <w:p>
            <w:r>
              <w:rPr>
                <w:rFonts w:hint="eastAsia"/>
              </w:rPr>
              <w:t>管理者代表</w:t>
            </w:r>
          </w:p>
        </w:tc>
        <w:tc>
          <w:tcPr>
            <w:tcW w:w="2180" w:type="dxa"/>
          </w:tcPr>
          <w:p>
            <w:bookmarkStart w:id="14" w:name="管理者代表"/>
            <w:r>
              <w:t>张利虎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客户洽谈→签订合同→制定工作餐→餐食加工→配送→回收餐具→清洁消毒→餐余物处理（外包）→客户满意度调查</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2022年09月22日 下午至2022年09月24日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集体用餐配送（热食类食品制售）所涉及场所的相关环境管理活动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30.05.00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66"/>
        <w:gridCol w:w="2468"/>
        <w:gridCol w:w="571"/>
        <w:gridCol w:w="2311"/>
        <w:gridCol w:w="11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066" w:type="dxa"/>
            <w:shd w:val="clear" w:color="auto" w:fill="F3F3F3"/>
            <w:tcMar>
              <w:left w:w="57" w:type="dxa"/>
              <w:right w:w="57" w:type="dxa"/>
            </w:tcMar>
          </w:tcPr>
          <w:p>
            <w:r>
              <w:rPr>
                <w:rFonts w:hint="eastAsia"/>
              </w:rPr>
              <w:t>组织名称及注册场所地址</w:t>
            </w:r>
          </w:p>
        </w:tc>
        <w:tc>
          <w:tcPr>
            <w:tcW w:w="2468"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311" w:type="dxa"/>
            <w:shd w:val="clear" w:color="auto" w:fill="F3F3F3"/>
            <w:tcMar>
              <w:left w:w="57" w:type="dxa"/>
              <w:right w:w="57" w:type="dxa"/>
            </w:tcMar>
          </w:tcPr>
          <w:p>
            <w:r>
              <w:rPr>
                <w:rFonts w:hint="eastAsia"/>
              </w:rPr>
              <w:t>审核范围（产品和过程）</w:t>
            </w:r>
          </w:p>
          <w:p/>
          <w:p/>
        </w:tc>
        <w:tc>
          <w:tcPr>
            <w:tcW w:w="116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066" w:type="dxa"/>
            <w:vAlign w:val="center"/>
          </w:tcPr>
          <w:p>
            <w:pPr>
              <w:rPr>
                <w:rFonts w:ascii="宋体" w:hAnsi="Times New Roman" w:eastAsia="宋体" w:cs="宋体"/>
                <w:bCs/>
                <w:kern w:val="2"/>
                <w:sz w:val="24"/>
                <w:szCs w:val="24"/>
                <w:lang w:val="de-DE" w:eastAsia="ja-JP" w:bidi="ar-SA"/>
              </w:rPr>
            </w:pPr>
            <w:r>
              <w:rPr>
                <w:rFonts w:ascii="宋体" w:cs="宋体"/>
                <w:bCs/>
                <w:sz w:val="24"/>
              </w:rPr>
              <w:t>邢台外嘙桥餐饮中心邢台开发区分部</w:t>
            </w:r>
          </w:p>
        </w:tc>
        <w:tc>
          <w:tcPr>
            <w:tcW w:w="2468" w:type="dxa"/>
            <w:vAlign w:val="center"/>
          </w:tcPr>
          <w:p>
            <w:pPr>
              <w:spacing w:line="240" w:lineRule="atLeast"/>
              <w:jc w:val="left"/>
              <w:rPr>
                <w:rFonts w:ascii="宋体" w:hAnsi="Times New Roman" w:eastAsia="宋体" w:cs="Times New Roman"/>
                <w:bCs/>
                <w:kern w:val="2"/>
                <w:sz w:val="24"/>
                <w:szCs w:val="24"/>
                <w:lang w:val="de-DE" w:eastAsia="ja-JP" w:bidi="ar-SA"/>
              </w:rPr>
            </w:pPr>
            <w:r>
              <w:rPr>
                <w:rFonts w:ascii="宋体"/>
                <w:bCs/>
                <w:sz w:val="24"/>
              </w:rPr>
              <w:t>河北省邢台市经济开发区王快镇西楼下社区兴泰大街与建业路交叉口西行50米路北院内001号</w:t>
            </w:r>
          </w:p>
        </w:tc>
        <w:tc>
          <w:tcPr>
            <w:tcW w:w="571" w:type="dxa"/>
            <w:vAlign w:val="center"/>
          </w:tcPr>
          <w:p>
            <w:pPr>
              <w:rPr>
                <w:rFonts w:hint="default" w:eastAsia="宋体"/>
                <w:lang w:val="en-US" w:eastAsia="zh-CN"/>
              </w:rPr>
            </w:pPr>
            <w:r>
              <w:rPr>
                <w:rFonts w:hint="eastAsia"/>
                <w:lang w:val="en-US" w:eastAsia="zh-CN"/>
              </w:rPr>
              <w:t>30</w:t>
            </w:r>
          </w:p>
        </w:tc>
        <w:tc>
          <w:tcPr>
            <w:tcW w:w="2311" w:type="dxa"/>
            <w:vAlign w:val="center"/>
          </w:tcPr>
          <w:p>
            <w:pPr>
              <w:rPr>
                <w:lang w:eastAsia="ja-JP"/>
              </w:rPr>
            </w:pPr>
            <w:r>
              <w:rPr>
                <w:rFonts w:hint="eastAsia"/>
                <w:lang w:eastAsia="ja-JP"/>
              </w:rPr>
              <w:t>集体用餐配送（热食类食品制售）所涉及场所的相关环境管理活动</w:t>
            </w:r>
          </w:p>
        </w:tc>
        <w:tc>
          <w:tcPr>
            <w:tcW w:w="1161" w:type="dxa"/>
            <w:vAlign w:val="center"/>
          </w:tcPr>
          <w:p>
            <w:pPr>
              <w:rPr>
                <w:lang w:eastAsia="ja-JP"/>
              </w:rPr>
            </w:pPr>
            <w:r>
              <w:rPr>
                <w:rFonts w:hint="eastAsia"/>
                <w:lang w:eastAsia="ja-JP"/>
              </w:rPr>
              <w:t>GB/T24001-2016/ISO14001:2015</w:t>
            </w:r>
          </w:p>
        </w:tc>
        <w:tc>
          <w:tcPr>
            <w:tcW w:w="668" w:type="dxa"/>
            <w:shd w:val="clear" w:color="auto" w:fill="FFFFFF"/>
          </w:tcPr>
          <w:p>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066" w:type="dxa"/>
            <w:vAlign w:val="center"/>
          </w:tcPr>
          <w:p>
            <w:pPr>
              <w:spacing w:line="240" w:lineRule="atLeast"/>
              <w:jc w:val="left"/>
              <w:rPr>
                <w:rFonts w:ascii="宋体" w:hAnsi="Times New Roman" w:eastAsia="宋体" w:cs="Times New Roman"/>
                <w:bCs/>
                <w:kern w:val="2"/>
                <w:sz w:val="24"/>
                <w:szCs w:val="24"/>
                <w:lang w:val="en-US" w:eastAsia="ja-JP" w:bidi="ar-SA"/>
              </w:rPr>
            </w:pPr>
            <w:r>
              <w:rPr>
                <w:rFonts w:ascii="宋体"/>
                <w:bCs/>
                <w:sz w:val="24"/>
              </w:rPr>
              <w:t>河北省邢台市经济开发区王快镇西楼下社区兴泰大街与建业路交叉口西行50米路北院内001号</w:t>
            </w:r>
          </w:p>
        </w:tc>
        <w:tc>
          <w:tcPr>
            <w:tcW w:w="2468" w:type="dxa"/>
            <w:vAlign w:val="center"/>
          </w:tcPr>
          <w:p>
            <w:pPr>
              <w:rPr>
                <w:lang w:eastAsia="ja-JP"/>
              </w:rPr>
            </w:pPr>
          </w:p>
        </w:tc>
        <w:tc>
          <w:tcPr>
            <w:tcW w:w="571" w:type="dxa"/>
            <w:vAlign w:val="center"/>
          </w:tcPr>
          <w:p>
            <w:pPr>
              <w:rPr>
                <w:lang w:eastAsia="ja-JP"/>
              </w:rPr>
            </w:pPr>
          </w:p>
        </w:tc>
        <w:tc>
          <w:tcPr>
            <w:tcW w:w="2311" w:type="dxa"/>
            <w:vAlign w:val="center"/>
          </w:tcPr>
          <w:p>
            <w:pPr>
              <w:rPr>
                <w:lang w:eastAsia="ja-JP"/>
              </w:rPr>
            </w:pPr>
          </w:p>
        </w:tc>
        <w:tc>
          <w:tcPr>
            <w:tcW w:w="116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066" w:type="dxa"/>
            <w:vAlign w:val="center"/>
          </w:tcPr>
          <w:p>
            <w:pPr>
              <w:rPr>
                <w:lang w:eastAsia="ja-JP"/>
              </w:rPr>
            </w:pPr>
          </w:p>
        </w:tc>
        <w:tc>
          <w:tcPr>
            <w:tcW w:w="2468" w:type="dxa"/>
            <w:vAlign w:val="center"/>
          </w:tcPr>
          <w:p>
            <w:pPr>
              <w:rPr>
                <w:lang w:eastAsia="ja-JP"/>
              </w:rPr>
            </w:pPr>
          </w:p>
        </w:tc>
        <w:tc>
          <w:tcPr>
            <w:tcW w:w="571" w:type="dxa"/>
            <w:vAlign w:val="center"/>
          </w:tcPr>
          <w:p>
            <w:pPr>
              <w:rPr>
                <w:lang w:eastAsia="ja-JP"/>
              </w:rPr>
            </w:pPr>
          </w:p>
        </w:tc>
        <w:tc>
          <w:tcPr>
            <w:tcW w:w="2311" w:type="dxa"/>
            <w:vAlign w:val="center"/>
          </w:tcPr>
          <w:p>
            <w:pPr>
              <w:rPr>
                <w:lang w:eastAsia="ja-JP"/>
              </w:rPr>
            </w:pPr>
          </w:p>
        </w:tc>
        <w:tc>
          <w:tcPr>
            <w:tcW w:w="116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066" w:type="dxa"/>
            <w:vAlign w:val="center"/>
          </w:tcPr>
          <w:p>
            <w:pPr>
              <w:rPr>
                <w:lang w:eastAsia="ja-JP"/>
              </w:rPr>
            </w:pPr>
          </w:p>
        </w:tc>
        <w:tc>
          <w:tcPr>
            <w:tcW w:w="2468" w:type="dxa"/>
            <w:vAlign w:val="center"/>
          </w:tcPr>
          <w:p>
            <w:pPr>
              <w:rPr>
                <w:lang w:eastAsia="ja-JP"/>
              </w:rPr>
            </w:pPr>
          </w:p>
        </w:tc>
        <w:tc>
          <w:tcPr>
            <w:tcW w:w="571" w:type="dxa"/>
            <w:vAlign w:val="center"/>
          </w:tcPr>
          <w:p>
            <w:pPr>
              <w:rPr>
                <w:lang w:eastAsia="ja-JP"/>
              </w:rPr>
            </w:pPr>
          </w:p>
        </w:tc>
        <w:tc>
          <w:tcPr>
            <w:tcW w:w="2311" w:type="dxa"/>
            <w:vAlign w:val="center"/>
          </w:tcPr>
          <w:p>
            <w:pPr>
              <w:rPr>
                <w:lang w:eastAsia="ja-JP"/>
              </w:rPr>
            </w:pPr>
          </w:p>
        </w:tc>
        <w:tc>
          <w:tcPr>
            <w:tcW w:w="116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066" w:type="dxa"/>
            <w:vAlign w:val="center"/>
          </w:tcPr>
          <w:p>
            <w:pPr>
              <w:rPr>
                <w:lang w:eastAsia="ja-JP"/>
              </w:rPr>
            </w:pPr>
          </w:p>
        </w:tc>
        <w:tc>
          <w:tcPr>
            <w:tcW w:w="2468" w:type="dxa"/>
            <w:vAlign w:val="center"/>
          </w:tcPr>
          <w:p>
            <w:pPr>
              <w:rPr>
                <w:lang w:eastAsia="ja-JP"/>
              </w:rPr>
            </w:pPr>
          </w:p>
        </w:tc>
        <w:tc>
          <w:tcPr>
            <w:tcW w:w="571" w:type="dxa"/>
            <w:vAlign w:val="center"/>
          </w:tcPr>
          <w:p>
            <w:pPr>
              <w:rPr>
                <w:lang w:eastAsia="ja-JP"/>
              </w:rPr>
            </w:pPr>
          </w:p>
        </w:tc>
        <w:tc>
          <w:tcPr>
            <w:tcW w:w="2311" w:type="dxa"/>
            <w:vAlign w:val="center"/>
          </w:tcPr>
          <w:p>
            <w:pPr>
              <w:rPr>
                <w:lang w:eastAsia="ja-JP"/>
              </w:rPr>
            </w:pPr>
          </w:p>
        </w:tc>
        <w:tc>
          <w:tcPr>
            <w:tcW w:w="1161" w:type="dxa"/>
            <w:vAlign w:val="center"/>
          </w:tcPr>
          <w:p>
            <w:pPr>
              <w:rPr>
                <w:lang w:eastAsia="ja-JP"/>
              </w:rPr>
            </w:pPr>
          </w:p>
        </w:tc>
        <w:tc>
          <w:tcPr>
            <w:tcW w:w="668" w:type="dxa"/>
            <w:shd w:val="clear" w:color="auto" w:fill="FFFFFF"/>
          </w:tcPr>
          <w:p>
            <w:r>
              <w:rPr>
                <w:rFonts w:hint="eastAsia"/>
              </w:rPr>
              <w:t>☐</w:t>
            </w:r>
          </w:p>
        </w:tc>
      </w:tr>
    </w:tbl>
    <w:p/>
    <w:p>
      <w:pPr>
        <w:pStyle w:val="3"/>
      </w:pPr>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组长</w:t>
            </w:r>
          </w:p>
        </w:tc>
        <w:tc>
          <w:tcPr>
            <w:tcW w:w="711" w:type="dxa"/>
            <w:vAlign w:val="center"/>
          </w:tcPr>
          <w:p>
            <w:r>
              <w:t>女</w:t>
            </w:r>
          </w:p>
        </w:tc>
        <w:tc>
          <w:tcPr>
            <w:tcW w:w="3870" w:type="dxa"/>
            <w:vAlign w:val="center"/>
          </w:tcPr>
          <w:p>
            <w:r>
              <w:t>2020-N1EMS-1263722</w:t>
            </w:r>
          </w:p>
        </w:tc>
        <w:tc>
          <w:tcPr>
            <w:tcW w:w="2179" w:type="dxa"/>
            <w:vAlign w:val="center"/>
          </w:tcPr>
          <w:p>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inline distT="0" distB="0" distL="114300" distR="114300">
                  <wp:extent cx="642620" cy="207010"/>
                  <wp:effectExtent l="0" t="0" r="5080" b="8890"/>
                  <wp:docPr id="1" name="图片 1" descr="张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星"/>
                          <pic:cNvPicPr>
                            <a:picLocks noChangeAspect="1"/>
                          </pic:cNvPicPr>
                        </pic:nvPicPr>
                        <pic:blipFill>
                          <a:blip r:embed="rId6"/>
                          <a:stretch>
                            <a:fillRect/>
                          </a:stretch>
                        </pic:blipFill>
                        <pic:spPr>
                          <a:xfrm>
                            <a:off x="0" y="0"/>
                            <a:ext cx="642620" cy="207010"/>
                          </a:xfrm>
                          <a:prstGeom prst="rect">
                            <a:avLst/>
                          </a:prstGeom>
                        </pic:spPr>
                      </pic:pic>
                    </a:graphicData>
                  </a:graphic>
                </wp:inline>
              </w:drawing>
            </w: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2022.9.25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br w:type="page"/>
      </w:r>
      <w:r>
        <w:t>附件 ISO 14001:2015 (若不是ISO 14001:2015审核请删除)</w:t>
      </w:r>
    </w:p>
    <w:tbl>
      <w:tblPr>
        <w:tblStyle w:val="10"/>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审核周期</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 </w:t>
            </w:r>
            <w:r>
              <w:rPr>
                <w:rFonts w:hint="eastAsia"/>
              </w:rPr>
              <w:sym w:font="Wingdings 2" w:char="0052"/>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体系要素</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组织环境</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firstLine="1260" w:firstLineChars="600"/>
                    <w:rPr>
                      <w:rFonts w:hint="default"/>
                    </w:rPr>
                  </w:pPr>
                </w:p>
              </w:tc>
              <w:tc>
                <w:tcPr>
                  <w:tcW w:w="7375" w:type="dxa"/>
                </w:tcPr>
                <w:p>
                  <w:pPr>
                    <w:keepNext w:val="0"/>
                    <w:keepLines w:val="0"/>
                    <w:suppressLineNumbers w:val="0"/>
                    <w:shd w:val="clear" w:color="auto" w:fill="EBF1DE" w:themeFill="accent3" w:themeFillTint="32"/>
                    <w:spacing w:before="0" w:beforeAutospacing="0" w:after="0" w:afterAutospacing="0"/>
                    <w:ind w:left="0" w:right="0" w:firstLine="420" w:firstLineChars="200"/>
                    <w:rPr>
                      <w:rFonts w:hint="default"/>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外部环境</w:t>
                  </w:r>
                </w:p>
              </w:tc>
              <w:tc>
                <w:tcPr>
                  <w:tcW w:w="737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内部环境</w:t>
                  </w:r>
                </w:p>
              </w:tc>
              <w:tc>
                <w:tcPr>
                  <w:tcW w:w="737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□绩效 </w:t>
                  </w:r>
                  <w:r>
                    <w:rPr>
                      <w:rFonts w:hint="eastAsia"/>
                    </w:rPr>
                    <w:sym w:font="Wingdings 2" w:char="00A3"/>
                  </w:r>
                  <w:r>
                    <w:rPr>
                      <w:rFonts w:hint="eastAsia"/>
                    </w:rPr>
                    <w:t xml:space="preserve">工艺 □设备 </w:t>
                  </w:r>
                  <w:r>
                    <w:rPr>
                      <w:rFonts w:hint="eastAsia"/>
                    </w:rPr>
                    <w:sym w:font="Wingdings 2" w:char="0052"/>
                  </w:r>
                  <w:r>
                    <w:rPr>
                      <w:rFonts w:hint="eastAsia"/>
                    </w:rPr>
                    <w:t xml:space="preserve">人员能力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default"/>
                    </w:rPr>
                    <w:t>活动、产品和服务</w:t>
                  </w:r>
                  <w:r>
                    <w:rPr>
                      <w:rFonts w:hint="eastAsia"/>
                    </w:rPr>
                    <w:t xml:space="preserve"> </w:t>
                  </w:r>
                  <w:r>
                    <w:rPr>
                      <w:rFonts w:hint="eastAsia"/>
                    </w:rPr>
                    <w:sym w:font="Wingdings 2" w:char="0052"/>
                  </w:r>
                  <w:r>
                    <w:rPr>
                      <w:rFonts w:hint="default"/>
                    </w:rPr>
                    <w:t>战略方向</w:t>
                  </w:r>
                  <w:r>
                    <w:rPr>
                      <w:rFonts w:hint="eastAsia"/>
                    </w:rPr>
                    <w:t xml:space="preserve"> □其他</w:t>
                  </w: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重要的相关方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主管部门</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供方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顾客</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社区</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员工</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□投资方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□其他</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组织运用生命周期观点明确相关环境管理体系的范围；（详见第一条款审核范围）</w:t>
            </w:r>
          </w:p>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已将环境管理体系要求融入到其各项业务过程中，包括：</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A3"/>
            </w:r>
            <w:r>
              <w:rPr>
                <w:rFonts w:hint="eastAsia"/>
              </w:rPr>
              <w:t xml:space="preserve">生产 </w:t>
            </w:r>
            <w:r>
              <w:rPr>
                <w:rFonts w:hint="eastAsia"/>
              </w:rPr>
              <w:sym w:font="Wingdings 2" w:char="00A3"/>
            </w:r>
            <w:r>
              <w:rPr>
                <w:rFonts w:hint="eastAsia"/>
              </w:rPr>
              <w:t xml:space="preserve">检验 □仓库管理 </w:t>
            </w:r>
          </w:p>
          <w:p>
            <w:pPr>
              <w:keepNext w:val="0"/>
              <w:keepLines w:val="0"/>
              <w:suppressLineNumbers w:val="0"/>
              <w:shd w:val="clear" w:color="auto" w:fill="EBF1DE" w:themeFill="accent3" w:themeFillTint="32"/>
              <w:spacing w:before="40" w:beforeAutospacing="0" w:after="40" w:afterAutospacing="0"/>
              <w:ind w:left="0" w:right="0"/>
              <w:rPr>
                <w:rFonts w:hint="default"/>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A3"/>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sym w:font="Wingdings 2" w:char="00A3"/>
            </w:r>
            <w:r>
              <w:rPr>
                <w:rFonts w:hint="eastAsia"/>
              </w:rPr>
              <w:t>环评三同时 □其他</w:t>
            </w:r>
          </w:p>
          <w:p>
            <w:pPr>
              <w:keepNext w:val="0"/>
              <w:keepLines w:val="0"/>
              <w:suppressLineNumbers w:val="0"/>
              <w:shd w:val="clear" w:color="auto" w:fill="EBF1DE" w:themeFill="accent3" w:themeFillTint="32"/>
              <w:spacing w:before="40" w:beforeAutospacing="0" w:after="40" w:afterAutospacing="0"/>
              <w:ind w:left="0" w:right="0"/>
              <w:rPr>
                <w:rFonts w:hint="default"/>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□危险废物处置 □消防检测 □生产/服务过程 □环保监测 </w:t>
            </w:r>
            <w:r>
              <w:rPr>
                <w:rFonts w:hint="eastAsia"/>
              </w:rPr>
              <w:sym w:font="Wingdings 2" w:char="00A3"/>
            </w:r>
            <w:r>
              <w:rPr>
                <w:rFonts w:hint="eastAsia"/>
              </w:rPr>
              <w:t>产品运输 □设备维修</w:t>
            </w:r>
          </w:p>
          <w:p>
            <w:pPr>
              <w:keepNext w:val="0"/>
              <w:keepLines w:val="0"/>
              <w:suppressLineNumbers w:val="0"/>
              <w:shd w:val="clear" w:color="auto" w:fill="EBF1DE" w:themeFill="accent3" w:themeFillTint="32"/>
              <w:spacing w:before="40" w:beforeAutospacing="0" w:after="40" w:afterAutospacing="0"/>
              <w:ind w:left="0" w:right="0"/>
              <w:rPr>
                <w:rFonts w:hint="eastAsia" w:eastAsia="宋体"/>
                <w:lang w:val="en-US" w:eastAsia="zh-CN"/>
              </w:rPr>
            </w:pPr>
            <w:r>
              <w:rPr>
                <w:rFonts w:hint="eastAsia"/>
              </w:rPr>
              <w:t xml:space="preserve">□人员培训 </w:t>
            </w:r>
            <w:r>
              <w:rPr>
                <w:rFonts w:hint="eastAsia"/>
              </w:rPr>
              <w:sym w:font="Wingdings 2" w:char="0052"/>
            </w:r>
            <w:r>
              <w:rPr>
                <w:rFonts w:hint="eastAsia"/>
              </w:rPr>
              <w:t>其他</w:t>
            </w:r>
            <w:r>
              <w:rPr>
                <w:rFonts w:hint="eastAsia"/>
                <w:lang w:val="en-US" w:eastAsia="zh-CN"/>
              </w:rPr>
              <w:t xml:space="preserve"> 餐厨垃圾处理、烟道清洗、虫鼠消杀</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领导作用</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以人为本，产品第一；管理规范，质量优良；遵章守法，安全环保；用户至上，持续改进。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最高管理者确定了组织架构及相关岗位的职责、权限，并进行了全员的沟通和理解；</w:t>
            </w:r>
          </w:p>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rPr>
              <w:t>EMS的主管部门是——</w:t>
            </w:r>
            <w:r>
              <w:rPr>
                <w:rFonts w:hint="eastAsia"/>
                <w:lang w:val="en-US" w:eastAsia="zh-CN"/>
              </w:rPr>
              <w:t xml:space="preserve">综合部 </w:t>
            </w:r>
          </w:p>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策划</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color w:val="FF0000"/>
                    </w:rPr>
                  </w:pPr>
                  <w:r>
                    <w:rPr>
                      <w:rFonts w:hint="eastAsia" w:ascii="Times New Roman" w:hAnsi="Times New Roman" w:eastAsia="宋体" w:cs="Times New Roman"/>
                    </w:rPr>
                    <w:t>主要的风险或机遇描述</w:t>
                  </w: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color w:val="FF0000"/>
                    </w:rPr>
                  </w:pPr>
                  <w:r>
                    <w:rPr>
                      <w:rFonts w:hint="eastAsia" w:ascii="Times New Roman" w:hAnsi="Times New Roman" w:eastAsia="宋体" w:cs="Times New Roman"/>
                    </w:rPr>
                    <w:t>应对措施</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rPr>
                      <w:rFonts w:hint="default"/>
                    </w:rPr>
                  </w:pPr>
                  <w:r>
                    <w:rPr>
                      <w:rFonts w:hint="eastAsia"/>
                    </w:rPr>
                    <w:t>未向供货商及时传递公司环保要求，供货商环境管理不规范</w:t>
                  </w:r>
                </w:p>
              </w:tc>
              <w:tc>
                <w:tcPr>
                  <w:tcW w:w="3965" w:type="dxa"/>
                  <w:vAlign w:val="center"/>
                </w:tcPr>
                <w:p>
                  <w:pPr>
                    <w:pStyle w:val="2"/>
                    <w:rPr>
                      <w:rFonts w:hint="eastAsia"/>
                      <w:lang w:val="en-US" w:eastAsia="zh-CN"/>
                    </w:rPr>
                  </w:pPr>
                  <w:r>
                    <w:rPr>
                      <w:rFonts w:hint="eastAsia"/>
                    </w:rPr>
                    <w:t>各部门必须严格按照流程开展日常工作，对出现的不符合情况及时调整文件，保持流程的可操作性；</w:t>
                  </w:r>
                </w:p>
              </w:tc>
              <w:tc>
                <w:tcPr>
                  <w:tcW w:w="1717" w:type="dxa"/>
                  <w:vAlign w:val="top"/>
                </w:tcPr>
                <w:p>
                  <w:pPr>
                    <w:keepNext w:val="0"/>
                    <w:keepLines w:val="0"/>
                    <w:suppressLineNumbers w:val="0"/>
                    <w:shd w:val="clear" w:color="auto" w:fill="EBF1DE" w:themeFill="accent3" w:themeFillTint="32"/>
                    <w:spacing w:before="0" w:beforeAutospacing="0" w:after="0" w:afterAutospacing="0"/>
                    <w:ind w:left="0" w:right="0"/>
                    <w:rPr>
                      <w:rFonts w:hint="default"/>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eastAsia"/>
                      <w:sz w:val="21"/>
                      <w:szCs w:val="21"/>
                      <w:lang w:val="en-US" w:eastAsia="zh-CN"/>
                    </w:rPr>
                  </w:pPr>
                  <w:r>
                    <w:rPr>
                      <w:rFonts w:hint="eastAsia"/>
                      <w:sz w:val="21"/>
                      <w:szCs w:val="21"/>
                      <w:lang w:val="en-US" w:eastAsia="zh-CN"/>
                    </w:rPr>
                    <w:t>人员素质参差不齐，环保意识不强，对岗位环境因素认识不足，控制方法不明确；</w:t>
                  </w:r>
                </w:p>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965" w:type="dxa"/>
                  <w:vAlign w:val="center"/>
                </w:tcPr>
                <w:p>
                  <w:pPr>
                    <w:rPr>
                      <w:rFonts w:hint="default"/>
                      <w:sz w:val="21"/>
                      <w:szCs w:val="21"/>
                      <w:lang w:val="en-US" w:eastAsia="zh-CN"/>
                    </w:rPr>
                  </w:pPr>
                  <w:r>
                    <w:rPr>
                      <w:rFonts w:hint="eastAsia"/>
                      <w:sz w:val="21"/>
                      <w:szCs w:val="21"/>
                      <w:lang w:val="en-US" w:eastAsia="zh-CN"/>
                    </w:rPr>
                    <w:t>公司组织定期组织进行流程的评审。 及时获取顾客要求，对供货商进行严格资质评定，有环保要求的产品要求提供检测报告或材质单。</w:t>
                  </w:r>
                </w:p>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、异常状况和可合理预见的紧急情况。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制订了文件化的评价重要环境因素的准则，重要环境因素已识别，且对它们的重要性和对环境的影响被定期评审和更新。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重</w:t>
            </w:r>
            <w:r>
              <w:rPr>
                <w:rFonts w:hint="eastAsia" w:ascii="Times New Roman" w:hAnsi="Times New Roman" w:eastAsia="宋体" w:cs="Times New Roman"/>
              </w:rPr>
              <w:t>要环境因素包括</w:t>
            </w:r>
            <w:r>
              <w:rPr>
                <w:rFonts w:hint="eastAsia"/>
              </w:rPr>
              <w:t>(必要时，按每个场所来描述):（不必全选）</w:t>
            </w:r>
          </w:p>
          <w:p>
            <w:pPr>
              <w:keepNext w:val="0"/>
              <w:keepLines w:val="0"/>
              <w:suppressLineNumbers w:val="0"/>
              <w:shd w:val="clear" w:color="auto" w:fill="EBF1DE" w:themeFill="accent3" w:themeFillTint="32"/>
              <w:spacing w:before="40" w:beforeAutospacing="0" w:after="40" w:afterAutospacing="0"/>
              <w:ind w:left="0" w:right="0"/>
              <w:rPr>
                <w:rFonts w:hint="default"/>
                <w:highlight w:val="cyan"/>
              </w:rPr>
            </w:pPr>
            <w:r>
              <w:rPr>
                <w:rFonts w:hint="eastAsia"/>
              </w:rPr>
              <w:sym w:font="Wingdings 2" w:char="00A3"/>
            </w:r>
            <w:r>
              <w:rPr>
                <w:rFonts w:hint="eastAsia"/>
              </w:rPr>
              <w:t xml:space="preserve">能源消耗  </w:t>
            </w:r>
            <w:r>
              <w:rPr>
                <w:rFonts w:hint="eastAsia"/>
              </w:rPr>
              <w:sym w:font="Wingdings 2" w:char="00A3"/>
            </w:r>
            <w:r>
              <w:rPr>
                <w:rFonts w:hint="eastAsia"/>
              </w:rPr>
              <w:t xml:space="preserve">资源消耗 </w:t>
            </w:r>
            <w:r>
              <w:rPr>
                <w:rFonts w:hint="eastAsia"/>
              </w:rPr>
              <w:sym w:font="Wingdings 2" w:char="00A3"/>
            </w:r>
            <w:r>
              <w:rPr>
                <w:rFonts w:hint="eastAsia"/>
              </w:rPr>
              <w:t xml:space="preserve">废水排放  </w:t>
            </w:r>
            <w:r>
              <w:rPr>
                <w:rFonts w:hint="eastAsia"/>
              </w:rPr>
              <w:sym w:font="Wingdings 2" w:char="00A3"/>
            </w:r>
            <w:r>
              <w:rPr>
                <w:rFonts w:hint="eastAsia"/>
              </w:rPr>
              <w:t xml:space="preserve">废气排放 </w:t>
            </w:r>
            <w:r>
              <w:rPr>
                <w:rFonts w:hint="eastAsia"/>
              </w:rPr>
              <w:sym w:font="Wingdings 2" w:char="00A3"/>
            </w:r>
            <w:r>
              <w:rPr>
                <w:rFonts w:hint="eastAsia"/>
              </w:rPr>
              <w:t xml:space="preserve">粉尘排放  </w:t>
            </w:r>
            <w:r>
              <w:rPr>
                <w:rFonts w:hint="eastAsia"/>
              </w:rPr>
              <w:sym w:font="Wingdings 2" w:char="0052"/>
            </w:r>
            <w:r>
              <w:rPr>
                <w:rFonts w:hint="eastAsia"/>
                <w:lang w:val="en-US" w:eastAsia="zh-CN"/>
              </w:rPr>
              <w:t>固体废弃物</w:t>
            </w:r>
            <w:r>
              <w:rPr>
                <w:rFonts w:hint="eastAsia"/>
              </w:rPr>
              <w:t xml:space="preserve">排放 </w:t>
            </w:r>
            <w:r>
              <w:rPr>
                <w:rFonts w:hint="eastAsia"/>
              </w:rPr>
              <w:sym w:font="Wingdings 2" w:char="00A3"/>
            </w:r>
            <w:r>
              <w:rPr>
                <w:rFonts w:hint="eastAsia"/>
              </w:rPr>
              <w:t xml:space="preserve">噪声排放  □危化品泄露 □压力容器爆炸  </w:t>
            </w:r>
            <w:r>
              <w:rPr>
                <w:rFonts w:hint="eastAsia"/>
              </w:rPr>
              <w:sym w:font="Wingdings 2" w:char="0052"/>
            </w:r>
            <w:r>
              <w:rPr>
                <w:rFonts w:hint="eastAsia"/>
              </w:rPr>
              <w:t xml:space="preserve">火灾  </w:t>
            </w:r>
            <w:r>
              <w:rPr>
                <w:rFonts w:hint="eastAsia"/>
              </w:rPr>
              <w:sym w:font="Wingdings 2" w:char="0052"/>
            </w:r>
            <w:r>
              <w:rPr>
                <w:rFonts w:hint="eastAsia"/>
              </w:rPr>
              <w:t>其他</w:t>
            </w:r>
            <w:r>
              <w:rPr>
                <w:rFonts w:hint="eastAsia"/>
                <w:lang w:val="en-US" w:eastAsia="zh-CN"/>
              </w:rPr>
              <w:t xml:space="preserve"> 天然气爆炸、</w:t>
            </w:r>
            <w:r>
              <w:rPr>
                <w:rFonts w:hint="eastAsia"/>
              </w:rPr>
              <w:t>油烟排放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default"/>
              </w:rPr>
              <w:t>组织定期确定并获取</w:t>
            </w:r>
            <w:r>
              <w:rPr>
                <w:rFonts w:hint="eastAsia"/>
              </w:rPr>
              <w:t>了</w:t>
            </w:r>
            <w:r>
              <w:rPr>
                <w:rFonts w:hint="default"/>
              </w:rPr>
              <w:t>与其环境因素有关的</w:t>
            </w:r>
            <w:r>
              <w:rPr>
                <w:rFonts w:hint="eastAsia"/>
              </w:rPr>
              <w:t>文件化的</w:t>
            </w:r>
            <w:r>
              <w:rPr>
                <w:rFonts w:hint="default"/>
              </w:rPr>
              <w:t>合规义务； 将这些合规义务应用于组织； 在建立、实施、保持和持续改进其环境管理体系时必须考虑这些合规义务。</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default"/>
              </w:rPr>
              <w:t>组织</w:t>
            </w:r>
            <w:r>
              <w:rPr>
                <w:rFonts w:hint="eastAsia"/>
              </w:rPr>
              <w:t>提供了</w:t>
            </w:r>
            <w:r>
              <w:rPr>
                <w:rFonts w:hint="default"/>
              </w:rPr>
              <w:t>下列许可和授权(必要时，按每个场所来描述):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□安全生产许可证编号：</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 xml:space="preserve">排污许可证编号： </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□环境影响登记表日期：</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环境影响报告表日期：</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环境</w:t>
            </w:r>
            <w:r>
              <w:rPr>
                <w:rFonts w:hint="eastAsia"/>
                <w:lang w:val="en-US" w:eastAsia="zh-CN"/>
              </w:rPr>
              <w:t>保护验收报告</w:t>
            </w:r>
            <w:r>
              <w:rPr>
                <w:rFonts w:hint="eastAsia"/>
              </w:rPr>
              <w:t>日期：</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□消防验收/备案证明日期：</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组织策划并采取措施管理其重要环境因素、合规义务和识别的风险和机遇；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 xml:space="preserve">污水处理  </w:t>
            </w:r>
            <w:r>
              <w:rPr>
                <w:rFonts w:hint="eastAsia"/>
              </w:rPr>
              <w:sym w:font="Wingdings 2" w:char="00A3"/>
            </w:r>
            <w:r>
              <w:rPr>
                <w:rFonts w:hint="eastAsia"/>
              </w:rPr>
              <w:t xml:space="preserve">除尘设备 </w:t>
            </w:r>
            <w:r>
              <w:rPr>
                <w:rFonts w:hint="eastAsia"/>
              </w:rPr>
              <w:sym w:font="Wingdings 2" w:char="00A3"/>
            </w:r>
            <w:r>
              <w:rPr>
                <w:rFonts w:hint="eastAsia"/>
              </w:rPr>
              <w:t xml:space="preserve">设备降噪  </w:t>
            </w:r>
            <w:r>
              <w:rPr>
                <w:rFonts w:hint="eastAsia"/>
              </w:rPr>
              <w:sym w:font="Wingdings 2" w:char="00A3"/>
            </w:r>
            <w:r>
              <w:rPr>
                <w:rFonts w:hint="eastAsia"/>
              </w:rPr>
              <w:t xml:space="preserve">危废合法处置 </w:t>
            </w:r>
            <w:r>
              <w:rPr>
                <w:rFonts w:hint="eastAsia"/>
              </w:rPr>
              <w:sym w:font="Wingdings 2" w:char="00A3"/>
            </w:r>
            <w:r>
              <w:rPr>
                <w:rFonts w:hint="eastAsia"/>
              </w:rPr>
              <w:t xml:space="preserve">使用节能设备  </w:t>
            </w:r>
            <w:r>
              <w:rPr>
                <w:rFonts w:hint="eastAsia"/>
              </w:rPr>
              <w:sym w:font="Wingdings 2" w:char="00A3"/>
            </w:r>
            <w:r>
              <w:rPr>
                <w:rFonts w:hint="eastAsia"/>
              </w:rPr>
              <w:t xml:space="preserve">危化品控制 </w:t>
            </w:r>
          </w:p>
          <w:p>
            <w:pPr>
              <w:keepNext w:val="0"/>
              <w:keepLines w:val="0"/>
              <w:suppressLineNumbers w:val="0"/>
              <w:shd w:val="clear" w:color="auto" w:fill="EBF1DE" w:themeFill="accent3" w:themeFillTint="32"/>
              <w:spacing w:before="0" w:beforeAutospacing="0" w:after="0" w:afterAutospacing="0"/>
              <w:ind w:left="0" w:right="0"/>
              <w:rPr>
                <w:rFonts w:hint="default" w:eastAsia="宋体"/>
                <w:highlight w:val="cyan"/>
                <w:lang w:val="en-US" w:eastAsia="zh-CN"/>
              </w:rPr>
            </w:pPr>
            <w:r>
              <w:rPr>
                <w:rFonts w:hint="eastAsia"/>
              </w:rPr>
              <w:sym w:font="Wingdings 2" w:char="00A3"/>
            </w:r>
            <w:r>
              <w:rPr>
                <w:rFonts w:hint="eastAsia"/>
              </w:rPr>
              <w:t xml:space="preserve">压力容器检测  </w:t>
            </w:r>
            <w:r>
              <w:rPr>
                <w:rFonts w:hint="eastAsia"/>
              </w:rPr>
              <w:sym w:font="Wingdings 2" w:char="0052"/>
            </w:r>
            <w:r>
              <w:rPr>
                <w:rFonts w:hint="eastAsia"/>
              </w:rPr>
              <w:t xml:space="preserve">消防控制  </w:t>
            </w:r>
            <w:r>
              <w:rPr>
                <w:rFonts w:hint="eastAsia"/>
              </w:rPr>
              <w:sym w:font="Wingdings 2" w:char="0052"/>
            </w:r>
            <w:r>
              <w:rPr>
                <w:rFonts w:hint="eastAsia"/>
              </w:rPr>
              <w:t>其他</w:t>
            </w:r>
            <w:r>
              <w:rPr>
                <w:rFonts w:hint="eastAsia"/>
                <w:lang w:val="en-US" w:eastAsia="zh-CN"/>
              </w:rPr>
              <w:t>隔油沉淀池、采用净化油烟设备、定期保洁清理；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环境目标</w:t>
                  </w:r>
                </w:p>
              </w:tc>
              <w:tc>
                <w:tcPr>
                  <w:tcW w:w="3136"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控制措施</w:t>
                  </w:r>
                </w:p>
              </w:tc>
              <w:tc>
                <w:tcPr>
                  <w:tcW w:w="1350"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责任部门</w:t>
                  </w:r>
                </w:p>
              </w:tc>
              <w:tc>
                <w:tcPr>
                  <w:tcW w:w="1774"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numPr>
                      <w:ilvl w:val="0"/>
                      <w:numId w:val="0"/>
                    </w:numPr>
                    <w:suppressLineNumbers w:val="0"/>
                    <w:ind w:left="0" w:leftChars="0" w:firstLine="0" w:firstLineChars="0"/>
                    <w:jc w:val="left"/>
                    <w:textAlignment w:val="center"/>
                    <w:rPr>
                      <w:rFonts w:hint="default"/>
                    </w:rPr>
                  </w:pPr>
                  <w:r>
                    <w:rPr>
                      <w:rFonts w:hint="eastAsia" w:ascii="华文楷体" w:hAnsi="华文楷体" w:eastAsia="华文楷体" w:cs="华文楷体"/>
                      <w:sz w:val="24"/>
                      <w:szCs w:val="24"/>
                    </w:rPr>
                    <w:t>固体废弃物100％分类处置；</w:t>
                  </w:r>
                </w:p>
              </w:tc>
              <w:tc>
                <w:tcPr>
                  <w:tcW w:w="3136" w:type="dxa"/>
                  <w:shd w:val="clear" w:color="auto" w:fill="auto"/>
                  <w:vAlign w:val="center"/>
                </w:tcPr>
                <w:p>
                  <w:pPr>
                    <w:keepNext w:val="0"/>
                    <w:keepLines w:val="0"/>
                    <w:widowControl/>
                    <w:suppressLineNumbers w:val="0"/>
                    <w:jc w:val="left"/>
                    <w:textAlignment w:val="center"/>
                    <w:rPr>
                      <w:rFonts w:hint="default"/>
                      <w:lang w:val="en-GB"/>
                    </w:rPr>
                  </w:pPr>
                  <w:r>
                    <w:rPr>
                      <w:rFonts w:hint="eastAsia" w:ascii="宋体" w:hAnsi="宋体" w:eastAsia="宋体" w:cs="宋体"/>
                      <w:i w:val="0"/>
                      <w:iCs w:val="0"/>
                      <w:color w:val="000000"/>
                      <w:kern w:val="0"/>
                      <w:sz w:val="20"/>
                      <w:szCs w:val="20"/>
                      <w:u w:val="none"/>
                      <w:lang w:val="en-US" w:eastAsia="zh-CN" w:bidi="ar"/>
                    </w:rPr>
                    <w:t>实际处理的次数/规定需处理的次数*100%</w:t>
                  </w:r>
                </w:p>
              </w:tc>
              <w:tc>
                <w:tcPr>
                  <w:tcW w:w="13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各部门</w:t>
                  </w: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autoSpaceDE w:val="0"/>
                    <w:autoSpaceDN w:val="0"/>
                    <w:adjustRightInd w:val="0"/>
                    <w:spacing w:before="0" w:beforeAutospacing="0" w:after="0" w:afterAutospacing="0" w:line="360" w:lineRule="auto"/>
                    <w:ind w:left="0" w:leftChars="0" w:right="0" w:rightChars="0"/>
                    <w:jc w:val="left"/>
                    <w:rPr>
                      <w:rFonts w:hint="eastAsia" w:ascii="宋体" w:hAnsi="宋体" w:eastAsia="宋体" w:cs="Times New Roman"/>
                      <w:kern w:val="2"/>
                      <w:sz w:val="21"/>
                      <w:szCs w:val="24"/>
                      <w:lang w:val="en-US" w:eastAsia="zh-CN" w:bidi="ar-SA"/>
                    </w:rPr>
                  </w:pPr>
                  <w:r>
                    <w:rPr>
                      <w:rFonts w:hint="eastAsia" w:ascii="华文楷体" w:hAnsi="华文楷体" w:eastAsia="华文楷体" w:cs="华文楷体"/>
                      <w:sz w:val="24"/>
                      <w:szCs w:val="24"/>
                    </w:rPr>
                    <w:t>杜绝火灾事故。</w:t>
                  </w:r>
                </w:p>
              </w:tc>
              <w:tc>
                <w:tcPr>
                  <w:tcW w:w="3136" w:type="dxa"/>
                  <w:shd w:val="clear" w:color="auto" w:fill="auto"/>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3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各部门</w:t>
                  </w: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rPr>
                  </w:pPr>
                </w:p>
              </w:tc>
              <w:tc>
                <w:tcPr>
                  <w:tcW w:w="3136" w:type="dxa"/>
                  <w:shd w:val="clear" w:color="auto" w:fill="auto"/>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p>
              </w:tc>
              <w:tc>
                <w:tcPr>
                  <w:tcW w:w="13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91" w:type="dxa"/>
                  <w:shd w:val="clear" w:color="auto" w:fill="auto"/>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rPr>
                  </w:pPr>
                </w:p>
              </w:tc>
              <w:tc>
                <w:tcPr>
                  <w:tcW w:w="3136" w:type="dxa"/>
                  <w:shd w:val="clear" w:color="auto" w:fill="auto"/>
                  <w:vAlign w:val="center"/>
                </w:tcPr>
                <w:p>
                  <w:pPr>
                    <w:keepNext w:val="0"/>
                    <w:keepLines w:val="0"/>
                    <w:suppressLineNumbers w:val="0"/>
                    <w:spacing w:before="0" w:beforeAutospacing="0" w:after="0" w:afterAutospacing="0" w:line="400" w:lineRule="exact"/>
                    <w:ind w:left="0" w:right="0"/>
                    <w:rPr>
                      <w:rFonts w:hint="default" w:ascii="宋体" w:hAnsi="宋体" w:eastAsia="宋体"/>
                      <w:szCs w:val="21"/>
                      <w:lang w:val="en-US" w:eastAsia="zh-CN"/>
                    </w:rPr>
                  </w:pP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eastAsia="宋体"/>
                      <w:szCs w:val="21"/>
                      <w:lang w:val="en-US" w:eastAsia="zh-CN"/>
                    </w:rPr>
                  </w:pP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default" w:ascii="宋体" w:hAnsi="宋体"/>
                      <w:lang w:val="en-US" w:eastAsia="zh-CN"/>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目标已实现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支持</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组织的资源状况：</w:t>
            </w:r>
            <w:r>
              <w:rPr>
                <w:rFonts w:hint="eastAsia"/>
              </w:rPr>
              <w:sym w:font="Wingdings 2" w:char="0052"/>
            </w:r>
            <w:r>
              <w:rPr>
                <w:rFonts w:hint="eastAsia"/>
              </w:rPr>
              <w:t xml:space="preserve">人力资源 </w:t>
            </w:r>
            <w:r>
              <w:rPr>
                <w:rFonts w:hint="eastAsia" w:ascii="Wingdings" w:hAnsi="Wingdings"/>
              </w:rPr>
              <w:t>¨</w:t>
            </w:r>
            <w:r>
              <w:rPr>
                <w:rFonts w:hint="eastAsia"/>
              </w:rPr>
              <w:t xml:space="preserve">自然资源 </w:t>
            </w:r>
            <w:r>
              <w:rPr>
                <w:rFonts w:hint="eastAsia"/>
              </w:rPr>
              <w:sym w:font="Wingdings 2" w:char="0052"/>
            </w:r>
            <w:r>
              <w:rPr>
                <w:rFonts w:hint="eastAsia"/>
              </w:rPr>
              <w:t xml:space="preserve">基础设施  </w:t>
            </w:r>
            <w:r>
              <w:rPr>
                <w:rFonts w:hint="eastAsia" w:ascii="Wingdings" w:hAnsi="Wingdings"/>
              </w:rPr>
              <w:t>¨</w:t>
            </w:r>
            <w:r>
              <w:rPr>
                <w:rFonts w:hint="eastAsia"/>
              </w:rPr>
              <w:t xml:space="preserve">技术  </w:t>
            </w:r>
            <w:r>
              <w:rPr>
                <w:rFonts w:hint="eastAsia"/>
              </w:rPr>
              <w:sym w:font="Wingdings 2" w:char="0052"/>
            </w:r>
            <w:r>
              <w:rPr>
                <w:rFonts w:hint="eastAsia"/>
              </w:rPr>
              <w:t>财务资源。</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组织</w:t>
            </w:r>
            <w:r>
              <w:rPr>
                <w:rFonts w:hint="default"/>
              </w:rPr>
              <w:t>现有内部资源的能力</w:t>
            </w:r>
            <w:r>
              <w:rPr>
                <w:rFonts w:hint="eastAsia"/>
              </w:rPr>
              <w:t>可满足环境管理体系运行；</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现有内部资源的能力</w:t>
            </w:r>
            <w:r>
              <w:rPr>
                <w:rFonts w:hint="eastAsia"/>
              </w:rPr>
              <w:t>可基本满足环境管理体系运行，但是还有不足需要补充：</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现有内部资源的能力</w:t>
            </w:r>
            <w:r>
              <w:rPr>
                <w:rFonts w:hint="eastAsia"/>
              </w:rPr>
              <w:t>完全不能满足环境管理体系运行，</w:t>
            </w:r>
            <w:r>
              <w:rPr>
                <w:rFonts w:hint="default"/>
              </w:rP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vAlign w:val="top"/>
          </w:tcPr>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ascii="Times New Roman" w:hAnsi="Times New Roman" w:eastAsia="宋体" w:cs="Times New Roman"/>
              </w:rPr>
            </w:pPr>
            <w:r>
              <w:rPr>
                <w:rFonts w:hint="eastAsia" w:cs="Times New Roman"/>
                <w:lang w:val="en-US" w:eastAsia="zh-CN"/>
              </w:rPr>
              <w:t>生产场所面积</w:t>
            </w:r>
            <w:r>
              <w:rPr>
                <w:rFonts w:hint="eastAsia" w:ascii="Times New Roman" w:hAnsi="Times New Roman" w:eastAsia="宋体" w:cs="Times New Roman"/>
                <w:lang w:val="en-US" w:eastAsia="zh-CN"/>
              </w:rPr>
              <w:t>约300</w:t>
            </w:r>
            <w:r>
              <w:rPr>
                <w:rFonts w:hint="eastAsia" w:cs="Times New Roman"/>
                <w:lang w:val="en-US" w:eastAsia="zh-CN"/>
              </w:rPr>
              <w:t>0</w:t>
            </w:r>
            <w:r>
              <w:rPr>
                <w:rFonts w:hint="eastAsia" w:ascii="Times New Roman" w:hAnsi="Times New Roman" w:eastAsia="宋体" w:cs="Times New Roman"/>
              </w:rPr>
              <w:t>平方米；</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主要</w:t>
            </w:r>
            <w:r>
              <w:rPr>
                <w:rFonts w:hint="eastAsia" w:cs="Times New Roman"/>
                <w:lang w:val="en-US" w:eastAsia="zh-CN"/>
              </w:rPr>
              <w:t>办公</w:t>
            </w:r>
            <w:r>
              <w:rPr>
                <w:rFonts w:hint="eastAsia" w:ascii="Times New Roman" w:hAnsi="Times New Roman" w:eastAsia="宋体" w:cs="Times New Roman"/>
              </w:rPr>
              <w:t>设备有：和面机</w:t>
            </w:r>
            <w:r>
              <w:rPr>
                <w:rFonts w:hint="eastAsia" w:ascii="Times New Roman" w:hAnsi="Times New Roman" w:eastAsia="宋体" w:cs="Times New Roman"/>
                <w:lang w:eastAsia="zh-CN"/>
              </w:rPr>
              <w:t>、</w:t>
            </w:r>
            <w:r>
              <w:rPr>
                <w:rFonts w:hint="eastAsia" w:ascii="Times New Roman" w:hAnsi="Times New Roman" w:eastAsia="宋体" w:cs="Times New Roman"/>
              </w:rPr>
              <w:t>馒头成型机</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炒锅、消毒柜</w:t>
            </w:r>
            <w:r>
              <w:rPr>
                <w:rFonts w:hint="eastAsia" w:cs="Times New Roman"/>
                <w:lang w:val="en-US" w:eastAsia="zh-CN"/>
              </w:rPr>
              <w:t>等</w:t>
            </w:r>
            <w:r>
              <w:rPr>
                <w:rFonts w:hint="eastAsia" w:ascii="Times New Roman" w:hAnsi="Times New Roman" w:eastAsia="宋体" w:cs="Times New Roman"/>
              </w:rPr>
              <w:t xml:space="preserve"> （列举2~4种）</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 xml:space="preserve">特种设备：叉车 ¨行车 锅炉 电梯  ¨压力容器  ¨压力管道  ¨不适用  </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 xml:space="preserve">特种设备管理：进行了定期检验  ¨未进行定期检验的有：             </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sym w:font="Wingdings 2" w:char="00A3"/>
            </w:r>
            <w:r>
              <w:rPr>
                <w:rFonts w:hint="eastAsia" w:ascii="Times New Roman" w:hAnsi="Times New Roman" w:eastAsia="宋体" w:cs="Times New Roman"/>
              </w:rPr>
              <w:t>组织</w:t>
            </w:r>
            <w:r>
              <w:rPr>
                <w:rFonts w:ascii="Times New Roman" w:hAnsi="Times New Roman" w:eastAsia="宋体" w:cs="Times New Roman"/>
              </w:rPr>
              <w:t>现有</w:t>
            </w:r>
            <w:r>
              <w:rPr>
                <w:rFonts w:hint="eastAsia" w:ascii="Times New Roman" w:hAnsi="Times New Roman" w:eastAsia="宋体" w:cs="Times New Roman"/>
              </w:rPr>
              <w:t>基础设施可满足质量管理体系运行；</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□组织</w:t>
            </w:r>
            <w:r>
              <w:rPr>
                <w:rFonts w:ascii="Times New Roman" w:hAnsi="Times New Roman" w:eastAsia="宋体" w:cs="Times New Roman"/>
              </w:rPr>
              <w:t>现有</w:t>
            </w:r>
            <w:r>
              <w:rPr>
                <w:rFonts w:hint="eastAsia" w:ascii="Times New Roman" w:hAnsi="Times New Roman" w:eastAsia="宋体" w:cs="Times New Roman"/>
              </w:rPr>
              <w:t xml:space="preserve">基础设施可基本满足质量管理体系运行，但是还有不足需要补充：           </w:t>
            </w:r>
          </w:p>
          <w:p>
            <w:pPr>
              <w:shd w:val="clear" w:color="auto" w:fill="EBF1DE" w:themeFill="accent3" w:themeFillTint="32"/>
              <w:rPr>
                <w:rFonts w:hint="default"/>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计量器具的</w:t>
            </w:r>
            <w:r>
              <w:rPr>
                <w:rFonts w:hint="default"/>
              </w:rPr>
              <w:t>测量溯源</w:t>
            </w:r>
            <w:r>
              <w:rPr>
                <w:rFonts w:hint="eastAsia"/>
              </w:rPr>
              <w:t xml:space="preserve">方法：  </w:t>
            </w:r>
            <w:r>
              <w:rPr>
                <w:rFonts w:hint="eastAsia" w:ascii="Wingdings" w:hAnsi="Wingdings"/>
              </w:rPr>
              <w:t>¨</w:t>
            </w:r>
            <w:r>
              <w:rPr>
                <w:rFonts w:hint="eastAsia"/>
              </w:rPr>
              <w:t xml:space="preserve">自校   外校 </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计量器具管理：进行了定期校准/检定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组织已确定在其控制的工作人员所需具备的能力，并采取措施以获得所需的能力，并评价措施的有效性；</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对国家规定持证上岗的人员资质进行了有效的管理。</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特种作业人员：电工 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特种设备作业人员：叉车工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通过</w:t>
            </w:r>
            <w:r>
              <w:rPr>
                <w:rFonts w:hint="eastAsia" w:ascii="Times New Roman" w:hAnsi="Times New Roman" w:eastAsia="宋体" w:cs="Times New Roman"/>
              </w:rPr>
              <w:t>■</w:t>
            </w:r>
            <w:r>
              <w:rPr>
                <w:rFonts w:hint="eastAsia"/>
              </w:rPr>
              <w:t xml:space="preserve">会议传达 标语  </w:t>
            </w:r>
            <w:r>
              <w:rPr>
                <w:rFonts w:hint="eastAsia" w:ascii="Times New Roman" w:hAnsi="Times New Roman" w:eastAsia="宋体" w:cs="Times New Roman"/>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组织已确定与环境管理体系相关的内部和外部沟通。</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内部沟通方式：■文件发放 ■会议  </w:t>
            </w:r>
            <w:r>
              <w:rPr>
                <w:rFonts w:hint="eastAsia" w:ascii="Times New Roman" w:hAnsi="Times New Roman" w:eastAsia="宋体" w:cs="Times New Roman"/>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外部沟通方式：■宣传材料 </w:t>
            </w:r>
            <w:r>
              <w:rPr>
                <w:rFonts w:hint="eastAsia" w:ascii="Times New Roman" w:hAnsi="Times New Roman" w:eastAsia="宋体" w:cs="Times New Roman"/>
              </w:rPr>
              <w:t>■</w:t>
            </w:r>
            <w:r>
              <w:rPr>
                <w:rFonts w:hint="eastAsia"/>
              </w:rPr>
              <w:t xml:space="preserve">网站  </w:t>
            </w:r>
            <w:r>
              <w:rPr>
                <w:rFonts w:hint="eastAsia" w:ascii="Times New Roman" w:hAnsi="Times New Roman" w:eastAsia="宋体" w:cs="Times New Roman"/>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组织已建立了文件化的环境管理体系。对自编文件的编制、审批、发放、变更和作废进行了控制。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对环境相关的外来文件（法律法规、产品标准）进行了识别和贯彻。</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运行</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hd w:val="clear" w:color="auto" w:fill="EBF1DE" w:themeFill="accent3" w:themeFillTint="32"/>
              <w:spacing w:before="0" w:beforeAutospacing="0" w:after="0" w:afterAutospacing="0"/>
              <w:ind w:left="0" w:right="0"/>
              <w:rPr>
                <w:rFonts w:hint="default"/>
                <w:highlight w:val="yellow"/>
              </w:rPr>
            </w:pPr>
            <w:r>
              <w:rPr>
                <w:rFonts w:hint="eastAsia"/>
              </w:rPr>
              <w:t xml:space="preserve"> ■</w:t>
            </w:r>
            <w:r>
              <w:rPr>
                <w:rFonts w:hint="eastAsia"/>
                <w:lang w:val="en-US" w:eastAsia="zh-CN"/>
              </w:rPr>
              <w:t>服务</w:t>
            </w:r>
            <w:r>
              <w:rPr>
                <w:rFonts w:hint="eastAsia"/>
              </w:rPr>
              <w:t xml:space="preserve">流程图 ■作业文件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组织建立并实施了与顾客沟通；如产品和服务的环境信息、顾客财产、应急措施等。</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组织对产品和服务的环境要求进行了评审，确保有能力向顾客提供满足要求的产品和服务。</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组织建立、实施和保持了适当的设计和开发过程，以确保后续的产品和服务的提供中满足环境相关的法律法规。（适用时）</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审核期间内，设计和开发新产品/项目名称：</w:t>
            </w:r>
            <w:r>
              <w:rPr>
                <w:rFonts w:hint="eastAsia"/>
                <w:u w:val="single"/>
              </w:rPr>
              <w:t xml:space="preserve">                           （</w:t>
            </w:r>
            <w:r>
              <w:rPr>
                <w:rFonts w:hint="eastAsia"/>
              </w:rPr>
              <w:t>举1例）</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对该设计和开发的项目对环境因素进行了识别和评价，并制订了控制措施。</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设计和开发的环境因素控制：</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组织对外部提供的过程、产品（危化品）和服务的供方按照对环境因素的影响程度实施控制。</w:t>
            </w:r>
          </w:p>
          <w:p>
            <w:pPr>
              <w:keepNext w:val="0"/>
              <w:keepLines w:val="0"/>
              <w:suppressLineNumbers w:val="0"/>
              <w:shd w:val="clear" w:color="auto" w:fill="EBF1DE" w:themeFill="accent3" w:themeFillTint="32"/>
              <w:spacing w:before="0" w:beforeAutospacing="0" w:after="0" w:afterAutospacing="0"/>
              <w:ind w:left="0" w:right="0"/>
              <w:jc w:val="left"/>
              <w:rPr>
                <w:rFonts w:hint="eastAsia" w:eastAsia="宋体"/>
                <w:lang w:val="en-US" w:eastAsia="zh-CN"/>
              </w:rPr>
            </w:pPr>
            <w:r>
              <w:rPr>
                <w:rFonts w:hint="eastAsia"/>
              </w:rPr>
              <w:t xml:space="preserve">外部提供包括：原材料采购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施工 设备维保  运输  ■其他</w:t>
            </w:r>
            <w:r>
              <w:rPr>
                <w:rFonts w:hint="eastAsia"/>
                <w:lang w:val="en-US" w:eastAsia="zh-CN"/>
              </w:rPr>
              <w:t xml:space="preserve"> </w:t>
            </w:r>
            <w:r>
              <w:rPr>
                <w:rFonts w:hint="eastAsia"/>
                <w:sz w:val="21"/>
                <w:szCs w:val="21"/>
                <w:lang w:val="en-US" w:eastAsia="zh-CN"/>
              </w:rPr>
              <w:t>餐厨垃圾处理、烟道清洗、虫鼠消杀</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控制方式：■合同约定 </w:t>
            </w:r>
            <w:r>
              <w:rPr>
                <w:rFonts w:hint="eastAsia" w:ascii="Wingdings" w:hAnsi="Wingdings"/>
              </w:rPr>
              <w:t>¨</w:t>
            </w:r>
            <w:r>
              <w:rPr>
                <w:rFonts w:hint="eastAsia"/>
              </w:rPr>
              <w:t xml:space="preserve">危害告知  ■现场检查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对外部供方的控制：■符合要求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重要环境因素</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控制措施</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rPr>
                  </w:pPr>
                  <w:r>
                    <w:rPr>
                      <w:rFonts w:hint="eastAsia"/>
                    </w:rPr>
                    <w:t>固废排放</w:t>
                  </w: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 xml:space="preserve"> 加强分类管理</w:t>
                  </w: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rPr>
                  </w:pPr>
                  <w:r>
                    <w:rPr>
                      <w:rFonts w:hint="eastAsia"/>
                    </w:rPr>
                    <w:t>火灾</w:t>
                  </w: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运行检查，查出消防隐患及时整改</w:t>
                  </w: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rPr>
                  </w:pP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对生产和服务提供过程的环境因素控制■符合要求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组织对生产设备、环保设备、特种设备制订了计划进行了定期的检查、保养和维修；运行完好</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特种设备管理：进行了定期检验  </w:t>
            </w:r>
            <w:r>
              <w:rPr>
                <w:rFonts w:hint="eastAsia" w:ascii="Wingdings" w:hAnsi="Wingdings"/>
              </w:rPr>
              <w:t>¨</w:t>
            </w:r>
            <w:r>
              <w:rPr>
                <w:rFonts w:hint="eastAsia"/>
              </w:rPr>
              <w:t xml:space="preserve">未进行定期检验的有： </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组织在生产和服务提供的整个过程中对危化品特性的进行了标识。</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采用的标识方式：</w:t>
            </w:r>
            <w:r>
              <w:rPr>
                <w:rFonts w:hint="eastAsia" w:ascii="Wingdings" w:hAnsi="Wingdings"/>
              </w:rPr>
              <w:t>¨</w:t>
            </w:r>
            <w:r>
              <w:rPr>
                <w:rFonts w:hint="eastAsia"/>
              </w:rPr>
              <w:t xml:space="preserve">MSDS 危害告知标牌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组织应在生产和服务提供期间对危化品的采购、运输、使用、储存的环境因素进行控制，以确保符合MSDS和法规要求。 </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危化品：符合要</w:t>
            </w:r>
            <w:bookmarkStart w:id="34" w:name="_GoBack"/>
            <w:bookmarkEnd w:id="34"/>
            <w:r>
              <w:rPr>
                <w:rFonts w:hint="eastAsia"/>
              </w:rPr>
              <w:t xml:space="preserve">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组织对产品和服务交付后活动的要求。 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制订的应急预案包括：</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 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lang w:val="en-US" w:eastAsia="zh-CN"/>
              </w:rPr>
              <w:t>4</w:t>
            </w:r>
            <w:r>
              <w:rPr>
                <w:rFonts w:hint="eastAsia"/>
              </w:rPr>
              <w:t>月</w:t>
            </w:r>
            <w:r>
              <w:rPr>
                <w:rFonts w:hint="eastAsia"/>
                <w:u w:val="single"/>
              </w:rPr>
              <w:t xml:space="preserve"> </w:t>
            </w:r>
            <w:r>
              <w:rPr>
                <w:rFonts w:hint="eastAsia"/>
                <w:u w:val="single"/>
                <w:lang w:val="en-US" w:eastAsia="zh-CN"/>
              </w:rPr>
              <w:t>8</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ascii="宋体" w:hAnsi="宋体" w:cs="宋体"/>
                <w:color w:val="000000" w:themeColor="text1"/>
                <w:szCs w:val="21"/>
              </w:rPr>
              <w:t>消防演练</w:t>
            </w:r>
            <w:r>
              <w:rPr>
                <w:rFonts w:hint="eastAsia"/>
              </w:rPr>
              <w:t xml:space="preserve">；并总结了预案的可行性和有效性。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定期评审并修订过程和策划的响应措施，特别是发生紧急情况后或进行试验后；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向环境有关的相关方，包括在组织控制下工作的人员提供应急准备和响应相关的信息和培训。</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绩效评价</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组织已分析和评价通过监视和测量获得的适当的数据和信息。</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组织已建立、实施并保持评价其合规义务履行情况所需的过程。</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实施合规性评价的时间：</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31</w:t>
            </w:r>
            <w:r>
              <w:rPr>
                <w:rFonts w:hint="eastAsia"/>
                <w:u w:val="single"/>
              </w:rPr>
              <w:t xml:space="preserve"> </w:t>
            </w:r>
            <w:r>
              <w:rPr>
                <w:rFonts w:hint="eastAsia"/>
              </w:rPr>
              <w:t>日</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组织在适当阶段实施策划的安排，以验证环境法律法规的要求已得到满足。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实施的检测：企业自检 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r>
              <w:rPr>
                <w:rFonts w:hint="eastAsia"/>
                <w:lang w:val="en-US" w:eastAsia="zh-CN"/>
              </w:rPr>
              <w:t>检测</w:t>
            </w:r>
            <w:r>
              <w:rPr>
                <w:rFonts w:hint="eastAsia"/>
              </w:rPr>
              <w:t>报告》编号：</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《建筑消防检测报告》编号：</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达标评价：符合要求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10-11</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22</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改进</w:t>
            </w:r>
          </w:p>
          <w:p>
            <w:pPr>
              <w:pStyle w:val="2"/>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组织针对环境管理体系运行中的不符合采取了有效纠正和纠正措施。针对下列方面采取了纠正措施：</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 xml:space="preserve">检测结果不合格 ■自我检查的结果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组织持续改进了环境管理体系的适宜性、充分性与有效性，以提升环境绩效。</w:t>
            </w:r>
          </w:p>
        </w:tc>
      </w:tr>
    </w:tbl>
    <w:tbl>
      <w:tblPr>
        <w:tblStyle w:val="9"/>
        <w:tblpPr w:leftFromText="180" w:rightFromText="180" w:vertAnchor="text" w:horzAnchor="page" w:tblpX="1137" w:tblpY="93"/>
        <w:tblOverlap w:val="never"/>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rPr>
          <w:rFonts w:eastAsia="微软雅黑"/>
          <w:sz w:val="20"/>
          <w:szCs w:val="20"/>
        </w:rPr>
      </w:pPr>
      <w:r>
        <w:tab/>
      </w:r>
      <w:r>
        <w:tab/>
      </w:r>
      <w:r>
        <w:t>4 =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I4NjI5OTBmMDM1ODFlMDkzNDFlZTFiMWNhZWU5ZTMifQ=="/>
  </w:docVars>
  <w:rsids>
    <w:rsidRoot w:val="00000000"/>
    <w:rsid w:val="07837045"/>
    <w:rsid w:val="1ED50EF6"/>
    <w:rsid w:val="20781906"/>
    <w:rsid w:val="42D73CC1"/>
    <w:rsid w:val="430B5AB0"/>
    <w:rsid w:val="45022641"/>
    <w:rsid w:val="4C461DFB"/>
    <w:rsid w:val="4F1542F6"/>
    <w:rsid w:val="7491567E"/>
    <w:rsid w:val="79B85F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9</TotalTime>
  <ScaleCrop>false</ScaleCrop>
  <LinksUpToDate>false</LinksUpToDate>
  <CharactersWithSpaces>21168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企业咨询17334292415</cp:lastModifiedBy>
  <cp:lastPrinted>2019-05-13T03:19:00Z</cp:lastPrinted>
  <dcterms:modified xsi:type="dcterms:W3CDTF">2022-09-24T02:27:41Z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