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黑体" w:eastAsia="黑体"/>
          <w:snapToGrid w:val="0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eastAsia="黑体"/>
          <w:snapToGrid w:val="0"/>
          <w:color w:val="000000"/>
          <w:kern w:val="0"/>
          <w:sz w:val="32"/>
          <w:szCs w:val="32"/>
        </w:rPr>
        <w:t>附</w:t>
      </w:r>
      <w:r>
        <w:rPr>
          <w:rFonts w:hint="eastAsia" w:ascii="黑体" w:eastAsia="黑体"/>
          <w:snapToGrid w:val="0"/>
          <w:color w:val="000000"/>
          <w:kern w:val="0"/>
          <w:sz w:val="32"/>
          <w:szCs w:val="32"/>
          <w:lang w:val="en-US" w:eastAsia="zh-CN"/>
        </w:rPr>
        <w:t>3</w:t>
      </w:r>
    </w:p>
    <w:p>
      <w:pPr>
        <w:jc w:val="center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 w:cs="Times New Roman"/>
          <w:b/>
          <w:sz w:val="28"/>
          <w:szCs w:val="28"/>
          <w:lang w:val="en-US" w:eastAsia="zh-CN"/>
        </w:rPr>
        <w:t>铁附件（横担）孔径尺寸检验</w:t>
      </w:r>
      <w:r>
        <w:rPr>
          <w:rFonts w:hint="eastAsia" w:ascii="宋体" w:hAnsi="宋体" w:eastAsia="宋体" w:cs="Times New Roman"/>
          <w:b/>
          <w:sz w:val="28"/>
          <w:szCs w:val="28"/>
        </w:rPr>
        <w:t>测</w:t>
      </w:r>
      <w:r>
        <w:rPr>
          <w:rFonts w:hint="eastAsia" w:ascii="宋体" w:hAnsi="宋体"/>
          <w:b/>
          <w:sz w:val="28"/>
          <w:szCs w:val="28"/>
        </w:rPr>
        <w:t>量过程有效性确认记录</w:t>
      </w:r>
    </w:p>
    <w:tbl>
      <w:tblPr>
        <w:tblStyle w:val="6"/>
        <w:tblW w:w="9360" w:type="dxa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4"/>
        <w:gridCol w:w="87"/>
        <w:gridCol w:w="1417"/>
        <w:gridCol w:w="1230"/>
        <w:gridCol w:w="1870"/>
        <w:gridCol w:w="989"/>
        <w:gridCol w:w="931"/>
        <w:gridCol w:w="17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测量过程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编号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/>
                <w:lang w:val="en-US" w:eastAsia="zh-CN"/>
              </w:rPr>
              <w:t>XB-</w:t>
            </w:r>
            <w:r>
              <w:rPr>
                <w:rFonts w:hint="eastAsia"/>
              </w:rPr>
              <w:t>202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</w:rPr>
              <w:t>-01</w:t>
            </w:r>
          </w:p>
        </w:tc>
        <w:tc>
          <w:tcPr>
            <w:tcW w:w="123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测量过程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名称</w:t>
            </w:r>
          </w:p>
        </w:tc>
        <w:tc>
          <w:tcPr>
            <w:tcW w:w="187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铁附件（横担）孔径尺寸检验</w:t>
            </w:r>
          </w:p>
        </w:tc>
        <w:tc>
          <w:tcPr>
            <w:tcW w:w="192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测量过程规范编号</w:t>
            </w:r>
          </w:p>
        </w:tc>
        <w:tc>
          <w:tcPr>
            <w:tcW w:w="171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/>
                <w:lang w:val="en-US" w:eastAsia="zh-CN"/>
              </w:rPr>
              <w:t>XB-CLGL-2022-01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所在部门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 w:val="20"/>
                <w:lang w:val="en-US" w:eastAsia="zh-CN"/>
              </w:rPr>
              <w:t>生产技术部</w:t>
            </w:r>
          </w:p>
        </w:tc>
        <w:tc>
          <w:tcPr>
            <w:tcW w:w="123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测量项目</w:t>
            </w:r>
          </w:p>
        </w:tc>
        <w:tc>
          <w:tcPr>
            <w:tcW w:w="187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检测尺寸</w:t>
            </w:r>
          </w:p>
        </w:tc>
        <w:tc>
          <w:tcPr>
            <w:tcW w:w="192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控制程度</w:t>
            </w:r>
          </w:p>
        </w:tc>
        <w:tc>
          <w:tcPr>
            <w:tcW w:w="171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color w:val="000000"/>
                <w:kern w:val="0"/>
                <w:sz w:val="20"/>
              </w:rPr>
              <w:t>高度控制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60" w:type="dxa"/>
            <w:gridSpan w:val="8"/>
          </w:tcPr>
          <w:p>
            <w:pPr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测量过程要素概述：</w:t>
            </w:r>
          </w:p>
          <w:p>
            <w:pPr>
              <w:rPr>
                <w:rFonts w:hint="eastAsia" w:ascii="宋体" w:hAnsi="宋体" w:cs="Times New Roman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测量设备：（0-</w:t>
            </w:r>
            <w:r>
              <w:rPr>
                <w:rFonts w:hint="eastAsia" w:ascii="宋体" w:hAnsi="宋体"/>
                <w:kern w:val="0"/>
                <w:sz w:val="20"/>
                <w:lang w:val="en-US" w:eastAsia="zh-CN"/>
              </w:rPr>
              <w:t>150</w:t>
            </w:r>
            <w:r>
              <w:rPr>
                <w:rFonts w:hint="eastAsia" w:ascii="宋体" w:hAnsi="宋体"/>
                <w:kern w:val="0"/>
                <w:sz w:val="20"/>
              </w:rPr>
              <w:t>）</w:t>
            </w:r>
            <w:r>
              <w:rPr>
                <w:rFonts w:hint="eastAsia" w:ascii="宋体" w:hAnsi="宋体"/>
                <w:kern w:val="0"/>
                <w:sz w:val="20"/>
                <w:lang w:val="en-US" w:eastAsia="zh-CN"/>
              </w:rPr>
              <w:t>㎜游标卡尺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测量方法：</w:t>
            </w:r>
            <w:r>
              <w:rPr>
                <w:rFonts w:hint="eastAsia" w:ascii="宋体" w:hAnsi="宋体" w:cs="Times New Roman"/>
                <w:kern w:val="0"/>
                <w:sz w:val="20"/>
                <w:lang w:val="en-US" w:eastAsia="zh-CN"/>
              </w:rPr>
              <w:t>游标卡尺</w:t>
            </w:r>
            <w:r>
              <w:rPr>
                <w:rFonts w:hint="eastAsia" w:ascii="宋体" w:hAnsi="宋体"/>
                <w:kern w:val="0"/>
                <w:sz w:val="20"/>
              </w:rPr>
              <w:t>测量采用直接接触法，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将</w:t>
            </w:r>
            <w:r>
              <w:rPr>
                <w:rFonts w:hint="eastAsia" w:ascii="宋体" w:hAnsi="宋体" w:cs="Times New Roman"/>
                <w:kern w:val="0"/>
                <w:sz w:val="20"/>
                <w:lang w:val="en-US" w:eastAsia="zh-CN"/>
              </w:rPr>
              <w:t>游标卡尺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置于被测</w:t>
            </w:r>
            <w:r>
              <w:rPr>
                <w:rFonts w:hint="eastAsia" w:ascii="宋体" w:hAnsi="宋体"/>
                <w:kern w:val="0"/>
                <w:sz w:val="20"/>
                <w:szCs w:val="21"/>
                <w:lang w:eastAsia="zh-CN"/>
              </w:rPr>
              <w:t>样品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表面上，</w:t>
            </w:r>
            <w:r>
              <w:rPr>
                <w:rFonts w:hint="eastAsia" w:ascii="宋体" w:hAnsi="宋体"/>
                <w:kern w:val="0"/>
                <w:sz w:val="20"/>
              </w:rPr>
              <w:t>按照</w:t>
            </w:r>
            <w:r>
              <w:rPr>
                <w:rFonts w:hint="eastAsia" w:ascii="宋体" w:hAnsi="宋体" w:cs="Times New Roman"/>
                <w:kern w:val="0"/>
                <w:sz w:val="20"/>
                <w:lang w:val="en-US" w:eastAsia="zh-CN"/>
              </w:rPr>
              <w:t>游标卡尺</w:t>
            </w:r>
            <w:r>
              <w:rPr>
                <w:rFonts w:hint="eastAsia" w:ascii="宋体" w:hAnsi="宋体"/>
                <w:kern w:val="0"/>
                <w:sz w:val="20"/>
              </w:rPr>
              <w:t>操作规程要求进行</w:t>
            </w:r>
            <w:r>
              <w:rPr>
                <w:rFonts w:hint="eastAsia" w:ascii="宋体" w:hAnsi="宋体"/>
                <w:kern w:val="0"/>
                <w:sz w:val="20"/>
                <w:lang w:val="en-US" w:eastAsia="zh-CN"/>
              </w:rPr>
              <w:t>孔径</w:t>
            </w:r>
            <w:r>
              <w:rPr>
                <w:rFonts w:hint="eastAsia" w:ascii="宋体" w:hAnsi="宋体"/>
                <w:kern w:val="0"/>
                <w:sz w:val="20"/>
              </w:rPr>
              <w:t>测量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，</w:t>
            </w:r>
            <w:r>
              <w:rPr>
                <w:rFonts w:hint="eastAsia" w:ascii="宋体" w:hAnsi="宋体" w:cs="Times New Roman"/>
                <w:kern w:val="0"/>
                <w:sz w:val="20"/>
                <w:lang w:val="en-US" w:eastAsia="zh-CN"/>
              </w:rPr>
              <w:t>游标卡尺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显示被测量数据</w:t>
            </w:r>
            <w:r>
              <w:rPr>
                <w:rFonts w:hint="eastAsia" w:ascii="宋体" w:hAnsi="宋体"/>
                <w:kern w:val="0"/>
                <w:sz w:val="20"/>
              </w:rPr>
              <w:t>，并记录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。</w:t>
            </w:r>
          </w:p>
          <w:p>
            <w:pPr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环境条件：常温</w:t>
            </w:r>
          </w:p>
          <w:p>
            <w:pPr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测量软件；</w:t>
            </w:r>
            <w:r>
              <w:rPr>
                <w:rFonts w:hint="eastAsia"/>
                <w:color w:val="000000"/>
                <w:kern w:val="0"/>
                <w:sz w:val="20"/>
              </w:rPr>
              <w:t>无</w:t>
            </w:r>
          </w:p>
          <w:p>
            <w:pPr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操作者技能：</w:t>
            </w:r>
            <w:r>
              <w:rPr>
                <w:rFonts w:hint="eastAsia" w:ascii="宋体" w:hAnsi="宋体"/>
                <w:color w:val="000000"/>
                <w:kern w:val="0"/>
                <w:sz w:val="20"/>
                <w:szCs w:val="21"/>
              </w:rPr>
              <w:t>仪器操作人员，经培训合格，有两年以上经验，操作人员取得安全操作上岗证。</w:t>
            </w:r>
          </w:p>
          <w:p>
            <w:pPr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其他影响量：无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6" w:hRule="atLeast"/>
        </w:trPr>
        <w:tc>
          <w:tcPr>
            <w:tcW w:w="9360" w:type="dxa"/>
            <w:gridSpan w:val="8"/>
          </w:tcPr>
          <w:p>
            <w:pPr>
              <w:rPr>
                <w:rFonts w:ascii="宋体" w:hAnsi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kern w:val="0"/>
                <w:sz w:val="20"/>
                <w:szCs w:val="20"/>
              </w:rPr>
              <w:t>有效性确认记录:</w:t>
            </w:r>
          </w:p>
          <w:p>
            <w:pPr>
              <w:widowControl/>
              <w:spacing w:line="360" w:lineRule="auto"/>
              <w:rPr>
                <w:rFonts w:asci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用重复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测量法对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铁附件（横担）孔径尺寸检验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测量过程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进行有效性确认：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1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)、202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2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年</w:t>
            </w:r>
            <w:r>
              <w:rPr>
                <w:rFonts w:hint="eastAsia" w:ascii="宋体" w:hAnsi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3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月</w:t>
            </w:r>
            <w:r>
              <w:rPr>
                <w:rFonts w:hint="eastAsia" w:ascii="宋体" w:hAnsi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16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日  用</w:t>
            </w:r>
            <w:r>
              <w:rPr>
                <w:rFonts w:hint="eastAsia" w:ascii="宋体" w:hAnsi="宋体" w:cs="Times New Roman"/>
                <w:kern w:val="0"/>
                <w:sz w:val="20"/>
                <w:lang w:val="en-US" w:eastAsia="zh-CN"/>
              </w:rPr>
              <w:t>游标卡尺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对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铁附件（横担）孔径尺寸检验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进行5次检测，平均值为</w:t>
            </w:r>
            <w:r>
              <w:object>
                <v:shape id="_x0000_i1025" o:spt="75" type="#_x0000_t75" style="height:19.2pt;width:15.15pt;" o:ole="t" filled="f" o:preferrelative="t" coordsize="21600,21600">
                  <v:path/>
                  <v:fill on="f" focussize="0,0"/>
                  <v:stroke/>
                  <v:imagedata r:id="rId6" o:title=""/>
                  <o:lock v:ext="edit" aspectratio="t"/>
                  <w10:wrap type="none"/>
                  <w10:anchorlock/>
                </v:shape>
                <o:OLEObject Type="Embed" ProgID="" ShapeID="_x0000_i1025" DrawAspect="Content" ObjectID="_1468075725" r:id="rId5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=</w:t>
            </w:r>
            <w:r>
              <w:rPr>
                <w:rFonts w:hint="eastAsia" w:ascii="宋体" w:hAnsi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17.45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4"/>
                <w:shd w:val="clear" w:fill="auto"/>
                <w:lang w:val="en-US" w:eastAsia="zh-CN"/>
              </w:rPr>
              <w:t>㎜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2)、202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2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年</w:t>
            </w:r>
            <w:r>
              <w:rPr>
                <w:rFonts w:hint="eastAsia" w:ascii="宋体" w:hAnsi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3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月</w:t>
            </w:r>
            <w:r>
              <w:rPr>
                <w:rFonts w:hint="eastAsia" w:ascii="宋体" w:hAnsi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18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日 用</w:t>
            </w:r>
            <w:r>
              <w:rPr>
                <w:rFonts w:hint="eastAsia" w:ascii="宋体" w:hAnsi="宋体" w:cs="宋体"/>
                <w:color w:val="auto"/>
                <w:spacing w:val="0"/>
                <w:position w:val="0"/>
                <w:sz w:val="21"/>
                <w:shd w:val="clear" w:fill="auto"/>
                <w:lang w:eastAsia="zh-CN"/>
              </w:rPr>
              <w:t>游标卡尺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对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铁附件（横担）孔径尺寸检验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进行5次检测，平均值为</w:t>
            </w:r>
            <w:r>
              <w:object>
                <v:shape id="_x0000_i1026" o:spt="75" type="#_x0000_t75" style="height:19.2pt;width:16.15pt;" o:ole="t" filled="f" o:preferrelative="t" coordsize="21600,21600">
                  <v:path/>
                  <v:fill on="f" focussize="0,0"/>
                  <v:stroke/>
                  <v:imagedata r:id="rId8" o:title=""/>
                  <o:lock v:ext="edit" aspectratio="t"/>
                  <w10:wrap type="none"/>
                  <w10:anchorlock/>
                </v:shape>
                <o:OLEObject Type="Embed" ProgID="" ShapeID="_x0000_i1026" DrawAspect="Content" ObjectID="_1468075726" r:id="rId7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=</w:t>
            </w:r>
            <w:r>
              <w:rPr>
                <w:rFonts w:hint="eastAsia" w:ascii="宋体" w:hAnsi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17.48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4"/>
                <w:shd w:val="clear" w:fill="auto"/>
                <w:lang w:val="en-US" w:eastAsia="zh-CN"/>
              </w:rPr>
              <w:t>㎜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测量过程的扩展不确定度</w:t>
            </w:r>
            <w:r>
              <w:rPr>
                <w:rFonts w:ascii="宋体" w:hAnsi="宋体" w:eastAsia="宋体" w:cs="宋体"/>
                <w:i/>
                <w:color w:val="auto"/>
                <w:spacing w:val="0"/>
                <w:position w:val="0"/>
                <w:sz w:val="21"/>
                <w:shd w:val="clear" w:fill="auto"/>
              </w:rPr>
              <w:t>U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=0.</w:t>
            </w:r>
            <w:r>
              <w:rPr>
                <w:rFonts w:hint="eastAsia" w:ascii="宋体" w:hAnsi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4"/>
                <w:shd w:val="clear" w:fill="auto"/>
                <w:lang w:val="en-US" w:eastAsia="zh-CN"/>
              </w:rPr>
              <w:t>㎜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 xml:space="preserve">  </w:t>
            </w:r>
            <w:r>
              <w:rPr>
                <w:rFonts w:ascii="宋体" w:hAnsi="宋体" w:eastAsia="宋体" w:cs="宋体"/>
                <w:i/>
                <w:iCs/>
                <w:color w:val="auto"/>
                <w:spacing w:val="0"/>
                <w:position w:val="0"/>
                <w:sz w:val="21"/>
                <w:shd w:val="clear" w:fill="auto"/>
              </w:rPr>
              <w:t>k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 xml:space="preserve">=2， </w:t>
            </w:r>
          </w:p>
          <w:p>
            <w:pPr>
              <w:spacing w:before="0" w:after="0" w:line="360" w:lineRule="auto"/>
              <w:ind w:left="0" w:right="0" w:firstLine="42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E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  <w:vertAlign w:val="subscript"/>
              </w:rPr>
              <w:t xml:space="preserve"> n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=|</w:t>
            </w:r>
            <w:r>
              <w:object>
                <v:shape id="_x0000_i1027" o:spt="75" type="#_x0000_t75" style="height:29.35pt;width:31.35pt;" o:ole="t" fillcolor="#FFFFFF" filled="t" o:preferrelative="t" stroked="f" coordsize="21600,21600">
                  <v:path/>
                  <v:fill on="t" color2="#FFFFFF" focussize="0,0"/>
                  <v:stroke on="f"/>
                  <v:imagedata r:id="rId10" o:title=""/>
                  <o:lock v:ext="edit" aspectratio="f"/>
                  <w10:wrap type="none"/>
                  <w10:anchorlock/>
                </v:shape>
                <o:OLEObject Type="Embed" ProgID="" ShapeID="_x0000_i1027" DrawAspect="Content" ObjectID="_1468075727" r:id="rId9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 xml:space="preserve"> |  /</w:t>
            </w:r>
            <w:r>
              <w:object>
                <v:shape id="_x0000_i1028" o:spt="75" type="#_x0000_t75" style="height:18.2pt;width:19.2pt;" o:ole="t" filled="f" o:preferrelative="t" coordsize="21600,21600">
                  <v:path/>
                  <v:fill on="f" focussize="0,0"/>
                  <v:stroke/>
                  <v:imagedata r:id="rId12" o:title=""/>
                  <o:lock v:ext="edit" aspectratio="t"/>
                  <w10:wrap type="none"/>
                  <w10:anchorlock/>
                </v:shape>
                <o:OLEObject Type="Embed" ProgID="" ShapeID="_x0000_i1028" DrawAspect="Content" ObjectID="_1468075728" r:id="rId11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i/>
                <w:color w:val="auto"/>
                <w:spacing w:val="0"/>
                <w:position w:val="0"/>
                <w:sz w:val="21"/>
                <w:shd w:val="clear" w:fill="auto"/>
              </w:rPr>
              <w:t xml:space="preserve">U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auto"/>
              <w:ind w:left="0" w:right="0" w:firstLine="420"/>
              <w:jc w:val="both"/>
              <w:textAlignment w:val="auto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highlight w:val="none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E n=|</w:t>
            </w:r>
            <w:r>
              <w:rPr>
                <w:rFonts w:hint="eastAsia" w:ascii="宋体" w:hAnsi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17.48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-</w:t>
            </w:r>
            <w:r>
              <w:rPr>
                <w:rFonts w:hint="eastAsia" w:ascii="宋体" w:hAnsi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17.45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|/（1.414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highlight w:val="none"/>
                <w:shd w:val="clear" w:fill="auto"/>
              </w:rPr>
              <w:t>* 0.</w:t>
            </w:r>
            <w:r>
              <w:rPr>
                <w:rFonts w:hint="eastAsia" w:ascii="宋体" w:hAnsi="宋体" w:cs="宋体"/>
                <w:color w:val="auto"/>
                <w:spacing w:val="0"/>
                <w:position w:val="0"/>
                <w:sz w:val="21"/>
                <w:highlight w:val="none"/>
                <w:shd w:val="clear" w:fill="auto"/>
                <w:lang w:val="en-US" w:eastAsia="zh-CN"/>
              </w:rPr>
              <w:t>12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highlight w:val="none"/>
                <w:shd w:val="clear" w:fill="auto"/>
              </w:rPr>
              <w:t>）=0.</w:t>
            </w:r>
            <w:r>
              <w:rPr>
                <w:rFonts w:hint="eastAsia" w:ascii="宋体" w:hAnsi="宋体" w:cs="宋体"/>
                <w:color w:val="auto"/>
                <w:spacing w:val="0"/>
                <w:position w:val="0"/>
                <w:sz w:val="21"/>
                <w:highlight w:val="none"/>
                <w:shd w:val="clear" w:fill="auto"/>
                <w:lang w:val="en-US" w:eastAsia="zh-CN"/>
              </w:rPr>
              <w:t>18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4"/>
                <w:highlight w:val="none"/>
                <w:shd w:val="clear" w:fill="auto"/>
                <w:lang w:val="en-US" w:eastAsia="zh-CN"/>
              </w:rPr>
              <w:t>㎜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highlight w:val="none"/>
                <w:shd w:val="clear" w:fill="auto"/>
              </w:rPr>
              <w:t>﹤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highlight w:val="none"/>
                <w:shd w:val="clear" w:fill="auto"/>
              </w:rPr>
              <w:t xml:space="preserve">1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auto"/>
              <w:ind w:left="0" w:right="0" w:firstLine="420"/>
              <w:jc w:val="left"/>
              <w:textAlignment w:val="auto"/>
              <w:rPr>
                <w:rFonts w:ascii="宋体" w:hAnsi="宋体" w:cs="宋体"/>
                <w:kern w:val="0"/>
                <w:sz w:val="24"/>
                <w:highlight w:val="red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当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E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  <w:vertAlign w:val="subscript"/>
              </w:rPr>
              <w:t xml:space="preserve"> n</w:t>
            </w:r>
            <w:r>
              <w:rPr>
                <w:rFonts w:ascii="Cambria Math" w:hAnsi="Cambria Math" w:eastAsia="Cambria Math" w:cs="Cambria Math"/>
                <w:color w:val="auto"/>
                <w:spacing w:val="0"/>
                <w:position w:val="0"/>
                <w:sz w:val="21"/>
                <w:shd w:val="clear" w:fill="auto"/>
              </w:rPr>
              <w:t>≤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1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时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该测量过程有效。</w:t>
            </w:r>
          </w:p>
          <w:p>
            <w:pPr>
              <w:ind w:firstLine="600" w:firstLineChars="300"/>
              <w:rPr>
                <w:rFonts w:ascii="宋体" w:hAnsi="宋体"/>
                <w:kern w:val="0"/>
                <w:sz w:val="20"/>
              </w:rPr>
            </w:pPr>
          </w:p>
          <w:p>
            <w:pPr>
              <w:ind w:firstLine="600" w:firstLineChars="300"/>
              <w:rPr>
                <w:rFonts w:hint="default" w:ascii="宋体" w:hAnsi="宋体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 xml:space="preserve">确认人员：   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65785" cy="319405"/>
                  <wp:effectExtent l="0" t="0" r="0" b="4445"/>
                  <wp:docPr id="6" name="图片 6" descr="10f33d46be6e8022ef617536aab5c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0f33d46be6e8022ef617536aab5cd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858279">
                                  <a:alpha val="100000"/>
                                </a:srgbClr>
                              </a:clrFrom>
                              <a:clrTo>
                                <a:srgbClr val="858279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56527" t="57127" r="33983" b="38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" cy="31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kern w:val="0"/>
                <w:sz w:val="20"/>
              </w:rPr>
              <w:t xml:space="preserve">                    日期：202</w:t>
            </w:r>
            <w:r>
              <w:rPr>
                <w:rFonts w:hint="eastAsia" w:ascii="宋体" w:hAnsi="宋体"/>
                <w:kern w:val="0"/>
                <w:sz w:val="20"/>
                <w:lang w:val="en-US" w:eastAsia="zh-CN"/>
              </w:rPr>
              <w:t>2.3</w:t>
            </w:r>
            <w:bookmarkStart w:id="0" w:name="_GoBack"/>
            <w:bookmarkEnd w:id="0"/>
            <w:r>
              <w:rPr>
                <w:rFonts w:hint="eastAsia" w:ascii="宋体" w:hAnsi="宋体"/>
                <w:kern w:val="0"/>
                <w:sz w:val="20"/>
                <w:lang w:val="en-US" w:eastAsia="zh-CN"/>
              </w:rPr>
              <w:t>.18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60" w:type="dxa"/>
            <w:gridSpan w:val="8"/>
          </w:tcPr>
          <w:p>
            <w:pPr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变更记录:</w:t>
            </w:r>
          </w:p>
          <w:p>
            <w:pPr>
              <w:rPr>
                <w:rFonts w:ascii="宋体" w:hAnsi="宋体"/>
                <w:kern w:val="0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4" w:type="dxa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日  期</w:t>
            </w:r>
          </w:p>
        </w:tc>
        <w:tc>
          <w:tcPr>
            <w:tcW w:w="5593" w:type="dxa"/>
            <w:gridSpan w:val="5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变   更   内   容</w:t>
            </w:r>
          </w:p>
        </w:tc>
        <w:tc>
          <w:tcPr>
            <w:tcW w:w="2643" w:type="dxa"/>
            <w:gridSpan w:val="2"/>
          </w:tcPr>
          <w:p>
            <w:pPr>
              <w:ind w:firstLine="300" w:firstLineChars="150"/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批准人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4" w:type="dxa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  <w:tc>
          <w:tcPr>
            <w:tcW w:w="5593" w:type="dxa"/>
            <w:gridSpan w:val="5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  <w:tc>
          <w:tcPr>
            <w:tcW w:w="2643" w:type="dxa"/>
            <w:gridSpan w:val="2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4" w:type="dxa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  <w:tc>
          <w:tcPr>
            <w:tcW w:w="5593" w:type="dxa"/>
            <w:gridSpan w:val="5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  <w:tc>
          <w:tcPr>
            <w:tcW w:w="2643" w:type="dxa"/>
            <w:gridSpan w:val="2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4" w:type="dxa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  <w:tc>
          <w:tcPr>
            <w:tcW w:w="5593" w:type="dxa"/>
            <w:gridSpan w:val="5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  <w:tc>
          <w:tcPr>
            <w:tcW w:w="2643" w:type="dxa"/>
            <w:gridSpan w:val="2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4" w:type="dxa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  <w:tc>
          <w:tcPr>
            <w:tcW w:w="5593" w:type="dxa"/>
            <w:gridSpan w:val="5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  <w:tc>
          <w:tcPr>
            <w:tcW w:w="2643" w:type="dxa"/>
            <w:gridSpan w:val="2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4" w:type="dxa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  <w:tc>
          <w:tcPr>
            <w:tcW w:w="5593" w:type="dxa"/>
            <w:gridSpan w:val="5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  <w:tc>
          <w:tcPr>
            <w:tcW w:w="2643" w:type="dxa"/>
            <w:gridSpan w:val="2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4" w:type="dxa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  <w:tc>
          <w:tcPr>
            <w:tcW w:w="5593" w:type="dxa"/>
            <w:gridSpan w:val="5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  <w:tc>
          <w:tcPr>
            <w:tcW w:w="2643" w:type="dxa"/>
            <w:gridSpan w:val="2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</w:tr>
    </w:tbl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RjZGZiMWRlMjcxMTI2YWQ3MWVkMTVjMTcyZTdkOTkifQ=="/>
  </w:docVars>
  <w:rsids>
    <w:rsidRoot w:val="00A67C41"/>
    <w:rsid w:val="00010403"/>
    <w:rsid w:val="00011F53"/>
    <w:rsid w:val="00017D4B"/>
    <w:rsid w:val="00050CEE"/>
    <w:rsid w:val="000559EF"/>
    <w:rsid w:val="00084899"/>
    <w:rsid w:val="000879F5"/>
    <w:rsid w:val="00093D66"/>
    <w:rsid w:val="000B6AAC"/>
    <w:rsid w:val="000E4EDC"/>
    <w:rsid w:val="00141AAE"/>
    <w:rsid w:val="00155CCF"/>
    <w:rsid w:val="00164E9B"/>
    <w:rsid w:val="00171F23"/>
    <w:rsid w:val="00181538"/>
    <w:rsid w:val="001C6D48"/>
    <w:rsid w:val="002803EE"/>
    <w:rsid w:val="00300752"/>
    <w:rsid w:val="00327686"/>
    <w:rsid w:val="0037212C"/>
    <w:rsid w:val="003878F3"/>
    <w:rsid w:val="003907D3"/>
    <w:rsid w:val="003C025C"/>
    <w:rsid w:val="003E7EFA"/>
    <w:rsid w:val="00400108"/>
    <w:rsid w:val="00407EEC"/>
    <w:rsid w:val="00412CA6"/>
    <w:rsid w:val="00416110"/>
    <w:rsid w:val="004206B6"/>
    <w:rsid w:val="0045121E"/>
    <w:rsid w:val="00485B36"/>
    <w:rsid w:val="00490248"/>
    <w:rsid w:val="0049541E"/>
    <w:rsid w:val="004E5FD2"/>
    <w:rsid w:val="004F2F11"/>
    <w:rsid w:val="00517566"/>
    <w:rsid w:val="00587A06"/>
    <w:rsid w:val="00594683"/>
    <w:rsid w:val="00595BF8"/>
    <w:rsid w:val="005A1CCB"/>
    <w:rsid w:val="00615CB6"/>
    <w:rsid w:val="006508E7"/>
    <w:rsid w:val="00662ACC"/>
    <w:rsid w:val="00697672"/>
    <w:rsid w:val="006A2D80"/>
    <w:rsid w:val="006B4C2F"/>
    <w:rsid w:val="006C46E7"/>
    <w:rsid w:val="006D2339"/>
    <w:rsid w:val="006E4650"/>
    <w:rsid w:val="007039D5"/>
    <w:rsid w:val="00736F8E"/>
    <w:rsid w:val="00745EBF"/>
    <w:rsid w:val="007C3D73"/>
    <w:rsid w:val="008344DD"/>
    <w:rsid w:val="00847E57"/>
    <w:rsid w:val="00860C7C"/>
    <w:rsid w:val="008A1C96"/>
    <w:rsid w:val="008B1C67"/>
    <w:rsid w:val="008B7CEF"/>
    <w:rsid w:val="008D46DD"/>
    <w:rsid w:val="008E2F88"/>
    <w:rsid w:val="008E7239"/>
    <w:rsid w:val="008F3AF1"/>
    <w:rsid w:val="00900D56"/>
    <w:rsid w:val="00914DC7"/>
    <w:rsid w:val="009207FC"/>
    <w:rsid w:val="00931D48"/>
    <w:rsid w:val="009507F2"/>
    <w:rsid w:val="009A4D9D"/>
    <w:rsid w:val="009B0631"/>
    <w:rsid w:val="009B1D2A"/>
    <w:rsid w:val="009E5B23"/>
    <w:rsid w:val="009F2391"/>
    <w:rsid w:val="009F4E1A"/>
    <w:rsid w:val="009F5A53"/>
    <w:rsid w:val="00A137E8"/>
    <w:rsid w:val="00A13B2D"/>
    <w:rsid w:val="00A166DA"/>
    <w:rsid w:val="00A347F0"/>
    <w:rsid w:val="00A44560"/>
    <w:rsid w:val="00A67C41"/>
    <w:rsid w:val="00A7552B"/>
    <w:rsid w:val="00A921C5"/>
    <w:rsid w:val="00AF12AF"/>
    <w:rsid w:val="00B42A3A"/>
    <w:rsid w:val="00B56BFF"/>
    <w:rsid w:val="00BA2C12"/>
    <w:rsid w:val="00BC1B60"/>
    <w:rsid w:val="00BD30CD"/>
    <w:rsid w:val="00BF6711"/>
    <w:rsid w:val="00BF73F1"/>
    <w:rsid w:val="00BF7D97"/>
    <w:rsid w:val="00C21C60"/>
    <w:rsid w:val="00C2500F"/>
    <w:rsid w:val="00C31A69"/>
    <w:rsid w:val="00C80EE2"/>
    <w:rsid w:val="00C92BF7"/>
    <w:rsid w:val="00CA1AA4"/>
    <w:rsid w:val="00CA7BB1"/>
    <w:rsid w:val="00CD50AC"/>
    <w:rsid w:val="00CF168C"/>
    <w:rsid w:val="00D33312"/>
    <w:rsid w:val="00D618BF"/>
    <w:rsid w:val="00D901AA"/>
    <w:rsid w:val="00DA1B9E"/>
    <w:rsid w:val="00DA31E0"/>
    <w:rsid w:val="00E03607"/>
    <w:rsid w:val="00E25AD0"/>
    <w:rsid w:val="00E3669E"/>
    <w:rsid w:val="00E46334"/>
    <w:rsid w:val="00EA74FA"/>
    <w:rsid w:val="00EF4FD6"/>
    <w:rsid w:val="00F142FC"/>
    <w:rsid w:val="00F7042C"/>
    <w:rsid w:val="00F743FA"/>
    <w:rsid w:val="00F770D1"/>
    <w:rsid w:val="00FF7566"/>
    <w:rsid w:val="02AA3776"/>
    <w:rsid w:val="06BA7235"/>
    <w:rsid w:val="0A5C58D6"/>
    <w:rsid w:val="0B2D1517"/>
    <w:rsid w:val="1059617E"/>
    <w:rsid w:val="13205EE7"/>
    <w:rsid w:val="14C96E69"/>
    <w:rsid w:val="156122C4"/>
    <w:rsid w:val="15CC4DD7"/>
    <w:rsid w:val="18501CF9"/>
    <w:rsid w:val="21DF6735"/>
    <w:rsid w:val="23514B96"/>
    <w:rsid w:val="278229F1"/>
    <w:rsid w:val="27F62114"/>
    <w:rsid w:val="2C0B2AA9"/>
    <w:rsid w:val="2D501A74"/>
    <w:rsid w:val="30F73FB7"/>
    <w:rsid w:val="32B34789"/>
    <w:rsid w:val="384B6E38"/>
    <w:rsid w:val="3AEC0F33"/>
    <w:rsid w:val="3BDD3C1C"/>
    <w:rsid w:val="3CD145E8"/>
    <w:rsid w:val="3F4045E2"/>
    <w:rsid w:val="42B508C5"/>
    <w:rsid w:val="462246B9"/>
    <w:rsid w:val="465305B9"/>
    <w:rsid w:val="49B93C25"/>
    <w:rsid w:val="49EF72A3"/>
    <w:rsid w:val="4ACE1D4A"/>
    <w:rsid w:val="4C716AE0"/>
    <w:rsid w:val="4CDD5015"/>
    <w:rsid w:val="4D8F3F46"/>
    <w:rsid w:val="4DF4056C"/>
    <w:rsid w:val="520E59D4"/>
    <w:rsid w:val="52B80CBE"/>
    <w:rsid w:val="532802BA"/>
    <w:rsid w:val="54483FDB"/>
    <w:rsid w:val="547E0AAD"/>
    <w:rsid w:val="55001653"/>
    <w:rsid w:val="57131229"/>
    <w:rsid w:val="590A069F"/>
    <w:rsid w:val="5938663E"/>
    <w:rsid w:val="5D195E8D"/>
    <w:rsid w:val="5D4F7C8B"/>
    <w:rsid w:val="5E0316DC"/>
    <w:rsid w:val="5ED61B50"/>
    <w:rsid w:val="5F7830DA"/>
    <w:rsid w:val="5FA05DB4"/>
    <w:rsid w:val="621249D3"/>
    <w:rsid w:val="652B5474"/>
    <w:rsid w:val="685F28EC"/>
    <w:rsid w:val="696302C5"/>
    <w:rsid w:val="6A8C3F13"/>
    <w:rsid w:val="6A9716B4"/>
    <w:rsid w:val="6CEB1A21"/>
    <w:rsid w:val="6E586E2A"/>
    <w:rsid w:val="708D4FDF"/>
    <w:rsid w:val="72F8233F"/>
    <w:rsid w:val="732E195E"/>
    <w:rsid w:val="74935054"/>
    <w:rsid w:val="7A2306FF"/>
    <w:rsid w:val="7A6409BB"/>
    <w:rsid w:val="7B9C0EEF"/>
    <w:rsid w:val="7D3258D7"/>
    <w:rsid w:val="7D764926"/>
    <w:rsid w:val="7DD63E6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wmf"/><Relationship Id="rId7" Type="http://schemas.openxmlformats.org/officeDocument/2006/relationships/oleObject" Target="embeddings/oleObject2.bin"/><Relationship Id="rId6" Type="http://schemas.openxmlformats.org/officeDocument/2006/relationships/image" Target="media/image1.w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5.jpeg"/><Relationship Id="rId12" Type="http://schemas.openxmlformats.org/officeDocument/2006/relationships/image" Target="media/image4.wmf"/><Relationship Id="rId11" Type="http://schemas.openxmlformats.org/officeDocument/2006/relationships/oleObject" Target="embeddings/oleObject4.bin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MS</Company>
  <Pages>2</Pages>
  <Words>423</Words>
  <Characters>516</Characters>
  <Lines>4</Lines>
  <Paragraphs>1</Paragraphs>
  <TotalTime>9</TotalTime>
  <ScaleCrop>false</ScaleCrop>
  <LinksUpToDate>false</LinksUpToDate>
  <CharactersWithSpaces>569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2017-05-16T07:28:00Z</dcterms:created>
  <dc:creator>wsp</dc:creator>
  <cp:lastModifiedBy>yingjie</cp:lastModifiedBy>
  <cp:lastPrinted>2017-05-16T07:28:00Z</cp:lastPrinted>
  <dcterms:modified xsi:type="dcterms:W3CDTF">2022-09-23T07:13:05Z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D30D70433208422CB9BC980A8CBE8252</vt:lpwstr>
  </property>
</Properties>
</file>