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0973-2021-Q-2022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襄阳富士达包装有限公司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襄阳富士达包装有限公司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襄阳市襄城区麒麟村二组</w:t>
            </w:r>
            <w:bookmarkEnd w:id="6"/>
          </w:p>
        </w:tc>
        <w:tc>
          <w:tcPr>
            <w:tcW w:w="1242" w:type="dxa"/>
            <w:vMerge w:val="restart"/>
            <w:vAlign w:val="center"/>
          </w:tcPr>
          <w:p>
            <w:r>
              <w:rPr>
                <w:rFonts w:hint="eastAsia"/>
              </w:rPr>
              <w:t>邮编</w:t>
            </w:r>
          </w:p>
        </w:tc>
        <w:tc>
          <w:tcPr>
            <w:tcW w:w="1771" w:type="dxa"/>
          </w:tcPr>
          <w:p>
            <w:bookmarkStart w:id="7" w:name="注册邮编"/>
            <w:r>
              <w:t>441021</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襄阳市襄城区麒麟村二组</w:t>
            </w:r>
            <w:bookmarkEnd w:id="8"/>
          </w:p>
        </w:tc>
        <w:tc>
          <w:tcPr>
            <w:tcW w:w="1242" w:type="dxa"/>
            <w:vMerge w:val="continue"/>
            <w:vAlign w:val="center"/>
          </w:tcPr>
          <w:p/>
        </w:tc>
        <w:tc>
          <w:tcPr>
            <w:tcW w:w="1771" w:type="dxa"/>
          </w:tcPr>
          <w:p>
            <w:bookmarkStart w:id="9" w:name="办公邮编"/>
            <w:r>
              <w:t>441021</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袁</w:t>
            </w:r>
            <w:r>
              <w:rPr>
                <w:rFonts w:hint="eastAsia"/>
                <w:lang w:val="en-US" w:eastAsia="zh-CN"/>
              </w:rPr>
              <w:t>丽</w:t>
            </w:r>
            <w:r>
              <w:t>华</w:t>
            </w:r>
            <w:bookmarkEnd w:id="10"/>
          </w:p>
        </w:tc>
        <w:tc>
          <w:tcPr>
            <w:tcW w:w="1313" w:type="dxa"/>
            <w:vAlign w:val="center"/>
          </w:tcPr>
          <w:p>
            <w:r>
              <w:rPr>
                <w:rFonts w:hint="eastAsia"/>
              </w:rPr>
              <w:t>电话.</w:t>
            </w:r>
          </w:p>
        </w:tc>
        <w:tc>
          <w:tcPr>
            <w:tcW w:w="2180" w:type="dxa"/>
            <w:vAlign w:val="center"/>
          </w:tcPr>
          <w:p>
            <w:r>
              <w:rPr>
                <w:rFonts w:hint="eastAsia"/>
              </w:rPr>
              <w:t>13545333136</w:t>
            </w:r>
          </w:p>
        </w:tc>
        <w:tc>
          <w:tcPr>
            <w:tcW w:w="1242" w:type="dxa"/>
            <w:vAlign w:val="center"/>
          </w:tcPr>
          <w:p>
            <w:r>
              <w:rPr>
                <w:rFonts w:hint="eastAsia"/>
              </w:rPr>
              <w:t>传真</w:t>
            </w:r>
          </w:p>
        </w:tc>
        <w:tc>
          <w:tcPr>
            <w:tcW w:w="1771" w:type="dxa"/>
          </w:tcPr>
          <w:p>
            <w:bookmarkStart w:id="11" w:name="联系人传真"/>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vAlign w:val="center"/>
          </w:tcPr>
          <w:p>
            <w:pPr>
              <w:jc w:val="both"/>
            </w:pPr>
            <w:bookmarkStart w:id="12" w:name="法人"/>
            <w:r>
              <w:t>贺正友</w:t>
            </w:r>
            <w:bookmarkEnd w:id="12"/>
          </w:p>
        </w:tc>
        <w:tc>
          <w:tcPr>
            <w:tcW w:w="1313" w:type="dxa"/>
            <w:vAlign w:val="center"/>
          </w:tcPr>
          <w:p>
            <w:pPr>
              <w:jc w:val="both"/>
            </w:pPr>
            <w:r>
              <w:rPr>
                <w:rFonts w:hint="eastAsia"/>
              </w:rPr>
              <w:t>管理者代表</w:t>
            </w:r>
          </w:p>
        </w:tc>
        <w:tc>
          <w:tcPr>
            <w:tcW w:w="2180" w:type="dxa"/>
            <w:vAlign w:val="center"/>
          </w:tcPr>
          <w:p>
            <w:pPr>
              <w:jc w:val="both"/>
            </w:pPr>
            <w:bookmarkStart w:id="13" w:name="管理者代表"/>
            <w:r>
              <w:t>高旭芳</w:t>
            </w:r>
            <w:bookmarkEnd w:id="13"/>
          </w:p>
        </w:tc>
        <w:tc>
          <w:tcPr>
            <w:tcW w:w="1242" w:type="dxa"/>
            <w:vAlign w:val="center"/>
          </w:tcPr>
          <w:p>
            <w:pPr>
              <w:jc w:val="both"/>
            </w:pPr>
            <w:r>
              <w:rPr>
                <w:rFonts w:hint="eastAsia"/>
              </w:rPr>
              <w:t>邮箱</w:t>
            </w:r>
          </w:p>
        </w:tc>
        <w:tc>
          <w:tcPr>
            <w:tcW w:w="1771" w:type="dxa"/>
            <w:vAlign w:val="center"/>
          </w:tcPr>
          <w:p>
            <w:pPr>
              <w:jc w:val="both"/>
            </w:pPr>
            <w:r>
              <w:rPr>
                <w:rFonts w:hint="eastAsia"/>
              </w:rPr>
              <w:t>512141139@qq.com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69" w:type="dxa"/>
            <w:shd w:val="clear" w:color="auto" w:fill="auto"/>
          </w:tcPr>
          <w:p>
            <w:r>
              <w:rPr>
                <w:rFonts w:hint="eastAsia"/>
                <w:highlight w:val="none"/>
              </w:rPr>
              <w:t>多班次说明</w:t>
            </w:r>
          </w:p>
        </w:tc>
        <w:tc>
          <w:tcPr>
            <w:tcW w:w="8058" w:type="dxa"/>
            <w:gridSpan w:val="5"/>
            <w:shd w:val="clear" w:color="auto" w:fill="auto"/>
          </w:tcPr>
          <w:p>
            <w:r>
              <w:rPr>
                <w:rFonts w:hint="eastAsia"/>
              </w:rPr>
              <w:t>受审核组织的班次：</w:t>
            </w:r>
            <w:r>
              <w:rPr>
                <w:rFonts w:hint="eastAsia"/>
              </w:rPr>
              <w:sym w:font="Wingdings 2" w:char="0052"/>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r>
              <w:rPr>
                <w:rFonts w:hint="eastAsia"/>
              </w:rPr>
              <w:t>下料－烘干－压刨－粗截－平刨－拼板－推糟－粘胶－精压刨－撕边、精截、组装－</w:t>
            </w:r>
            <w:r>
              <w:rPr>
                <w:rFonts w:hint="eastAsia"/>
                <w:lang w:val="en-US" w:eastAsia="zh-CN"/>
              </w:rPr>
              <w:t>喷</w:t>
            </w:r>
            <w:r>
              <w:rPr>
                <w:rFonts w:hint="eastAsia"/>
              </w:rPr>
              <w:t>标识——检验</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4" w:name="审核日期"/>
            <w:r>
              <w:rPr>
                <w:rFonts w:hint="eastAsia"/>
              </w:rPr>
              <w:t>2022年09月2</w:t>
            </w:r>
            <w:r>
              <w:rPr>
                <w:rFonts w:hint="eastAsia"/>
                <w:lang w:val="en-US" w:eastAsia="zh-CN"/>
              </w:rPr>
              <w:t>3</w:t>
            </w:r>
            <w:r>
              <w:rPr>
                <w:rFonts w:hint="eastAsia"/>
              </w:rPr>
              <w:t>日 上午至2022年09月2</w:t>
            </w:r>
            <w:r>
              <w:rPr>
                <w:rFonts w:hint="eastAsia"/>
                <w:lang w:val="en-US" w:eastAsia="zh-CN"/>
              </w:rPr>
              <w:t>3</w:t>
            </w:r>
            <w:r>
              <w:rPr>
                <w:rFonts w:hint="eastAsia"/>
              </w:rPr>
              <w:t>日 下午</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5" w:name="初审"/>
            <w:r>
              <w:rPr>
                <w:rFonts w:hint="eastAsia"/>
              </w:rPr>
              <w:t>□</w:t>
            </w:r>
            <w:bookmarkEnd w:id="15"/>
            <w:r>
              <w:rPr>
                <w:rFonts w:hint="eastAsia"/>
              </w:rPr>
              <w:t>初审二阶段：评价组织管理体系建立、实施运行的符合性及有效性，以确定是否推荐认证注册。</w:t>
            </w:r>
          </w:p>
          <w:p>
            <w:bookmarkStart w:id="16" w:name="监督勾选"/>
            <w:r>
              <w:rPr>
                <w:rFonts w:hint="eastAsia"/>
              </w:rPr>
              <w:t>■</w:t>
            </w:r>
            <w:bookmarkEnd w:id="16"/>
            <w:r>
              <w:rPr>
                <w:rFonts w:hint="eastAsia"/>
              </w:rPr>
              <w:t>监督审核：评价组织管理体系的持续符合性和有效性，以确定是否推荐保持认证证书。</w:t>
            </w:r>
          </w:p>
          <w:p>
            <w:bookmarkStart w:id="17" w:name="再认证勾选Add1"/>
            <w:r>
              <w:rPr>
                <w:rFonts w:hint="eastAsia"/>
              </w:rPr>
              <w:t>□</w:t>
            </w:r>
            <w:bookmarkEnd w:id="17"/>
            <w:r>
              <w:rPr>
                <w:rFonts w:hint="eastAsia"/>
              </w:rPr>
              <w:t>再认证：评价组织管理体系整体的持续符合性和有效性，以确定是否推荐更新认证并换发认证证书。</w:t>
            </w:r>
          </w:p>
          <w:p>
            <w:bookmarkStart w:id="18" w:name="扩项勾选"/>
            <w:r>
              <w:rPr>
                <w:rFonts w:hint="eastAsia"/>
              </w:rPr>
              <w:t>□</w:t>
            </w:r>
            <w:bookmarkEnd w:id="18"/>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19" w:name="Q勾选Add1"/>
            <w:r>
              <w:rPr>
                <w:rFonts w:hint="eastAsia"/>
                <w:lang w:val="de-DE"/>
              </w:rPr>
              <w:t>■</w:t>
            </w:r>
            <w:bookmarkEnd w:id="19"/>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0" w:name="QJ勾选Add1"/>
            <w:r>
              <w:rPr>
                <w:rFonts w:hint="eastAsia"/>
                <w:lang w:val="de-DE"/>
              </w:rPr>
              <w:t>□</w:t>
            </w:r>
            <w:bookmarkEnd w:id="20"/>
            <w:r>
              <w:rPr>
                <w:rFonts w:hint="eastAsia"/>
                <w:lang w:val="de-DE"/>
              </w:rPr>
              <w:t>GB/T 50430-2017</w:t>
            </w:r>
          </w:p>
          <w:p>
            <w:pPr>
              <w:rPr>
                <w:lang w:val="de-DE"/>
              </w:rPr>
            </w:pPr>
            <w:bookmarkStart w:id="21" w:name="E勾选Add1"/>
            <w:r>
              <w:rPr>
                <w:rFonts w:hint="eastAsia"/>
                <w:lang w:val="de-DE"/>
              </w:rPr>
              <w:t>□</w:t>
            </w:r>
            <w:bookmarkEnd w:id="21"/>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2" w:name="S勾选Add1"/>
            <w:r>
              <w:rPr>
                <w:rFonts w:hint="eastAsia"/>
                <w:lang w:val="de-DE"/>
              </w:rPr>
              <w:t>□</w:t>
            </w:r>
            <w:bookmarkEnd w:id="22"/>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3" w:name="二阶段勾选"/>
            <w:r>
              <w:rPr>
                <w:rFonts w:hint="eastAsia"/>
              </w:rPr>
              <w:t>□</w:t>
            </w:r>
            <w:bookmarkEnd w:id="23"/>
            <w:r>
              <w:rPr>
                <w:rFonts w:hint="eastAsia"/>
              </w:rPr>
              <w:t>初审二阶段</w:t>
            </w:r>
            <w:bookmarkStart w:id="24" w:name="监督勾选Add1"/>
            <w:r>
              <w:rPr>
                <w:rFonts w:hint="eastAsia"/>
              </w:rPr>
              <w:t>■</w:t>
            </w:r>
            <w:bookmarkEnd w:id="24"/>
            <w:r>
              <w:rPr>
                <w:rFonts w:hint="eastAsia"/>
              </w:rPr>
              <w:t>监督第</w:t>
            </w:r>
            <w:bookmarkStart w:id="25" w:name="监督次数"/>
            <w:r>
              <w:rPr>
                <w:rFonts w:hint="eastAsia"/>
              </w:rPr>
              <w:t>一</w:t>
            </w:r>
            <w:bookmarkEnd w:id="25"/>
            <w:r>
              <w:rPr>
                <w:rFonts w:hint="eastAsia"/>
              </w:rPr>
              <w:t>次监督审核</w:t>
            </w:r>
            <w:bookmarkStart w:id="26" w:name="再认证勾选"/>
            <w:r>
              <w:rPr>
                <w:rFonts w:hint="eastAsia"/>
              </w:rPr>
              <w:t>□</w:t>
            </w:r>
            <w:bookmarkEnd w:id="26"/>
            <w:r>
              <w:rPr>
                <w:rFonts w:hint="eastAsia"/>
              </w:rPr>
              <w:t>再认证</w:t>
            </w:r>
            <w:bookmarkStart w:id="27" w:name="扩项勾选Add1"/>
            <w:r>
              <w:rPr>
                <w:rFonts w:hint="eastAsia"/>
              </w:rPr>
              <w:t>□</w:t>
            </w:r>
            <w:bookmarkEnd w:id="27"/>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t>襄阳市襄城区麒麟村二组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tc>
        <w:tc>
          <w:tcPr>
            <w:tcW w:w="5625" w:type="dxa"/>
            <w:gridSpan w:val="3"/>
            <w:vMerge w:val="restart"/>
            <w:vAlign w:val="center"/>
          </w:tcPr>
          <w:p>
            <w:bookmarkStart w:id="28" w:name="审核范围"/>
            <w:r>
              <w:t>木箱的加工</w:t>
            </w:r>
            <w:bookmarkEnd w:id="28"/>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9" w:name="专业代码"/>
            <w:r>
              <w:t>06.02.04</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sym w:font="Wingdings 2" w:char="0052"/>
            </w:r>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sym w:font="Wingdings 2" w:char="0052"/>
            </w:r>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2021年3月6日</w:t>
            </w:r>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rPr>
                <w:rFonts w:hint="default" w:eastAsia="宋体"/>
                <w:lang w:val="en-US" w:eastAsia="zh-CN"/>
              </w:rPr>
            </w:pPr>
            <w:r>
              <w:rPr>
                <w:rFonts w:hint="eastAsia"/>
              </w:rPr>
              <w:t>2021年10月09日</w:t>
            </w:r>
            <w:r>
              <w:rPr>
                <w:rFonts w:hint="eastAsia"/>
                <w:lang w:val="en-US" w:eastAsia="zh-CN"/>
              </w:rPr>
              <w:t>~10日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2024</w:t>
            </w:r>
            <w:r>
              <w:rPr>
                <w:rFonts w:hint="eastAsia"/>
              </w:rPr>
              <w:t>年</w:t>
            </w:r>
            <w:r>
              <w:rPr>
                <w:rFonts w:hint="eastAsia"/>
                <w:lang w:val="en-US" w:eastAsia="zh-CN"/>
              </w:rPr>
              <w:t>10</w:t>
            </w:r>
            <w:r>
              <w:rPr>
                <w:rFonts w:hint="eastAsia"/>
              </w:rPr>
              <w:t>月</w:t>
            </w:r>
            <w:r>
              <w:rPr>
                <w:rFonts w:hint="eastAsia"/>
                <w:lang w:val="en-US" w:eastAsia="zh-CN"/>
              </w:rPr>
              <w:t>19</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rPr>
                <w:rFonts w:hint="eastAsia" w:ascii="Times New Roman" w:hAnsi="Times New Roman" w:eastAsia="宋体" w:cs="Times New Roman"/>
                <w:lang w:val="de-DE" w:eastAsia="ja-JP"/>
              </w:rPr>
            </w:pPr>
            <w:r>
              <w:rPr>
                <w:rFonts w:hint="eastAsia" w:ascii="Times New Roman" w:hAnsi="Times New Roman" w:eastAsia="宋体" w:cs="Times New Roman"/>
                <w:lang w:val="de-DE" w:eastAsia="ja-JP"/>
              </w:rPr>
              <w:t>襄阳富士达包装有限公司</w:t>
            </w:r>
          </w:p>
          <w:p>
            <w:pPr>
              <w:rPr>
                <w:rFonts w:hint="eastAsia" w:ascii="Times New Roman" w:hAnsi="Times New Roman" w:eastAsia="宋体" w:cs="Times New Roman"/>
                <w:lang w:val="de-DE" w:eastAsia="ja-JP"/>
              </w:rPr>
            </w:pPr>
            <w:r>
              <w:rPr>
                <w:rFonts w:hint="eastAsia" w:ascii="Times New Roman" w:hAnsi="Times New Roman" w:eastAsia="宋体" w:cs="Times New Roman"/>
                <w:lang w:val="en-US" w:eastAsia="zh-CN"/>
              </w:rPr>
              <w:t>襄阳市襄城区麒麟村二组</w:t>
            </w:r>
          </w:p>
        </w:tc>
        <w:tc>
          <w:tcPr>
            <w:tcW w:w="2267" w:type="dxa"/>
            <w:vAlign w:val="top"/>
          </w:tcPr>
          <w:p>
            <w:pPr>
              <w:rPr>
                <w:rFonts w:hint="eastAsia" w:ascii="Times New Roman" w:hAnsi="Times New Roman" w:eastAsia="宋体" w:cs="Times New Roman"/>
                <w:lang w:val="de-DE" w:eastAsia="ja-JP"/>
              </w:rPr>
            </w:pPr>
            <w:r>
              <w:rPr>
                <w:rFonts w:hint="eastAsia" w:ascii="Times New Roman" w:hAnsi="Times New Roman" w:eastAsia="宋体" w:cs="Times New Roman"/>
                <w:lang w:val="de-DE" w:eastAsia="ja-JP"/>
              </w:rPr>
              <w:t>襄阳市襄城区麒麟村二组</w:t>
            </w:r>
          </w:p>
        </w:tc>
        <w:tc>
          <w:tcPr>
            <w:tcW w:w="571" w:type="dxa"/>
            <w:vAlign w:val="center"/>
          </w:tcPr>
          <w:p>
            <w:pPr>
              <w:rPr>
                <w:rFonts w:hint="default" w:ascii="Times New Roman" w:hAnsi="Times New Roman" w:eastAsia="宋体" w:cs="Times New Roman"/>
                <w:lang w:val="en-US" w:eastAsia="ja-JP"/>
              </w:rPr>
            </w:pPr>
            <w:r>
              <w:rPr>
                <w:rFonts w:hint="eastAsia" w:ascii="Times New Roman" w:hAnsi="Times New Roman" w:eastAsia="宋体" w:cs="Times New Roman"/>
                <w:lang w:val="en-US" w:eastAsia="zh-CN"/>
              </w:rPr>
              <w:t>15</w:t>
            </w:r>
          </w:p>
        </w:tc>
        <w:tc>
          <w:tcPr>
            <w:tcW w:w="2803" w:type="dxa"/>
            <w:vAlign w:val="center"/>
          </w:tcPr>
          <w:p>
            <w:pPr>
              <w:rPr>
                <w:rFonts w:hint="eastAsia" w:ascii="Times New Roman" w:hAnsi="Times New Roman" w:eastAsia="宋体" w:cs="Times New Roman"/>
                <w:lang w:val="en-US" w:eastAsia="ja-JP"/>
              </w:rPr>
            </w:pPr>
            <w:r>
              <w:rPr>
                <w:rFonts w:hint="eastAsia" w:ascii="Times New Roman" w:hAnsi="Times New Roman" w:eastAsia="宋体" w:cs="Times New Roman"/>
                <w:lang w:val="en-US" w:eastAsia="ja-JP"/>
              </w:rPr>
              <w:t>木箱的加工</w:t>
            </w:r>
          </w:p>
        </w:tc>
        <w:tc>
          <w:tcPr>
            <w:tcW w:w="669" w:type="dxa"/>
            <w:vAlign w:val="center"/>
          </w:tcPr>
          <w:p>
            <w:pPr>
              <w:rPr>
                <w:rFonts w:hint="eastAsia" w:ascii="Times New Roman" w:hAnsi="Times New Roman" w:eastAsia="宋体" w:cs="Times New Roman"/>
                <w:lang w:val="en-US" w:eastAsia="ja-JP"/>
              </w:rPr>
            </w:pPr>
            <w:r>
              <w:rPr>
                <w:rFonts w:hint="eastAsia" w:ascii="Times New Roman" w:hAnsi="Times New Roman" w:eastAsia="宋体" w:cs="Times New Roman"/>
                <w:lang w:val="de-DE"/>
              </w:rPr>
              <w:t>GB/T19001-2016</w:t>
            </w:r>
          </w:p>
        </w:tc>
        <w:tc>
          <w:tcPr>
            <w:tcW w:w="668" w:type="dxa"/>
            <w:shd w:val="clear" w:color="auto" w:fill="FFFFFF"/>
          </w:tcPr>
          <w:p>
            <w:r>
              <w:rPr>
                <w:rFonts w:hint="eastAsia"/>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748" w:type="dxa"/>
            <w:vAlign w:val="center"/>
          </w:tcPr>
          <w:p>
            <w:r>
              <w:t>温红玲</w:t>
            </w:r>
          </w:p>
        </w:tc>
        <w:tc>
          <w:tcPr>
            <w:tcW w:w="1089" w:type="dxa"/>
            <w:vAlign w:val="center"/>
          </w:tcPr>
          <w:p>
            <w:r>
              <w:t>组长</w:t>
            </w:r>
          </w:p>
        </w:tc>
        <w:tc>
          <w:tcPr>
            <w:tcW w:w="711" w:type="dxa"/>
            <w:vAlign w:val="center"/>
          </w:tcPr>
          <w:p>
            <w:r>
              <w:t>女</w:t>
            </w:r>
          </w:p>
        </w:tc>
        <w:tc>
          <w:tcPr>
            <w:tcW w:w="3870" w:type="dxa"/>
            <w:vAlign w:val="center"/>
          </w:tcPr>
          <w:p>
            <w:r>
              <w:t>2022-N1QMS-3210533</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748" w:type="dxa"/>
            <w:vAlign w:val="center"/>
          </w:tcPr>
          <w:p>
            <w:r>
              <w:t>杨波</w:t>
            </w:r>
          </w:p>
        </w:tc>
        <w:tc>
          <w:tcPr>
            <w:tcW w:w="1089" w:type="dxa"/>
            <w:vAlign w:val="center"/>
          </w:tcPr>
          <w:p>
            <w:r>
              <w:t>组员</w:t>
            </w:r>
          </w:p>
        </w:tc>
        <w:tc>
          <w:tcPr>
            <w:tcW w:w="711" w:type="dxa"/>
            <w:vAlign w:val="center"/>
          </w:tcPr>
          <w:p>
            <w:r>
              <w:t>男</w:t>
            </w:r>
          </w:p>
        </w:tc>
        <w:tc>
          <w:tcPr>
            <w:tcW w:w="3870" w:type="dxa"/>
            <w:vAlign w:val="center"/>
          </w:tcPr>
          <w:p>
            <w:r>
              <w:t>ISC-JSZJ-397</w:t>
            </w:r>
          </w:p>
          <w:p>
            <w:r>
              <w:t>襄阳福源木业有限公司</w:t>
            </w:r>
          </w:p>
        </w:tc>
        <w:tc>
          <w:tcPr>
            <w:tcW w:w="2179" w:type="dxa"/>
            <w:vAlign w:val="center"/>
          </w:tcPr>
          <w:p>
            <w:r>
              <w:t>06.02.04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查上次不符合已整改完成，验证纠正措施有效。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0" w:name="Q勾选Add2"/>
            <w:r>
              <w:rPr>
                <w:rFonts w:hint="eastAsia"/>
              </w:rPr>
              <w:t>■</w:t>
            </w:r>
            <w:bookmarkEnd w:id="30"/>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1" w:name="E勾选Add2"/>
            <w:r>
              <w:rPr>
                <w:rFonts w:hint="eastAsia"/>
              </w:rPr>
              <w:t>□</w:t>
            </w:r>
            <w:bookmarkEnd w:id="31"/>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S勾选Add2"/>
            <w:r>
              <w:rPr>
                <w:rFonts w:hint="eastAsia"/>
              </w:rPr>
              <w:t>□</w:t>
            </w:r>
            <w:bookmarkEnd w:id="32"/>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730" w:type="dxa"/>
            <w:vMerge w:val="restart"/>
            <w:shd w:val="clear" w:color="auto" w:fill="auto"/>
          </w:tcPr>
          <w:p>
            <w:r>
              <w:rPr>
                <w:rFonts w:hint="eastAsia"/>
              </w:rPr>
              <w:t>审核组推荐意见</w:t>
            </w:r>
          </w:p>
          <w:p/>
        </w:tc>
        <w:tc>
          <w:tcPr>
            <w:tcW w:w="8350" w:type="dxa"/>
            <w:gridSpan w:val="2"/>
            <w:shd w:val="clear" w:color="auto" w:fill="auto"/>
            <w:vAlign w:val="top"/>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730" w:type="dxa"/>
            <w:vMerge w:val="continue"/>
            <w:shd w:val="clear" w:color="auto" w:fill="auto"/>
          </w:tcPr>
          <w:p/>
        </w:tc>
        <w:tc>
          <w:tcPr>
            <w:tcW w:w="8350" w:type="dxa"/>
            <w:gridSpan w:val="2"/>
            <w:shd w:val="clear" w:color="auto" w:fill="auto"/>
            <w:vAlign w:val="top"/>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730" w:type="dxa"/>
            <w:vMerge w:val="continue"/>
            <w:shd w:val="clear" w:color="auto" w:fill="auto"/>
          </w:tcPr>
          <w:p/>
        </w:tc>
        <w:tc>
          <w:tcPr>
            <w:tcW w:w="8350" w:type="dxa"/>
            <w:gridSpan w:val="2"/>
            <w:shd w:val="clear" w:color="auto" w:fill="auto"/>
            <w:vAlign w:val="top"/>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730" w:type="dxa"/>
            <w:vMerge w:val="continue"/>
            <w:shd w:val="clear" w:color="auto" w:fill="auto"/>
          </w:tcPr>
          <w:p/>
        </w:tc>
        <w:tc>
          <w:tcPr>
            <w:tcW w:w="8350" w:type="dxa"/>
            <w:gridSpan w:val="2"/>
            <w:shd w:val="clear" w:color="auto" w:fill="auto"/>
            <w:vAlign w:val="top"/>
          </w:tcPr>
          <w:p>
            <w:r>
              <w:rPr>
                <w:rFonts w:hint="eastAsia"/>
              </w:rPr>
              <w:sym w:font="Wingdings 2" w:char="0052"/>
            </w:r>
            <w:r>
              <w:rPr>
                <w:rFonts w:hint="eastAsia"/>
              </w:rPr>
              <w:t>在完成纠正措施后推荐保持认证注册(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730" w:type="dxa"/>
            <w:vMerge w:val="continue"/>
            <w:shd w:val="clear" w:color="auto" w:fill="auto"/>
          </w:tcPr>
          <w:p/>
        </w:tc>
        <w:tc>
          <w:tcPr>
            <w:tcW w:w="8350" w:type="dxa"/>
            <w:gridSpan w:val="2"/>
            <w:shd w:val="clear" w:color="auto" w:fill="auto"/>
            <w:vAlign w:val="top"/>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730" w:type="dxa"/>
            <w:vMerge w:val="continue"/>
            <w:shd w:val="clear" w:color="auto" w:fill="auto"/>
          </w:tcPr>
          <w:p/>
        </w:tc>
        <w:tc>
          <w:tcPr>
            <w:tcW w:w="8350" w:type="dxa"/>
            <w:gridSpan w:val="2"/>
            <w:shd w:val="clear" w:color="auto" w:fill="auto"/>
            <w:vAlign w:val="top"/>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730" w:type="dxa"/>
            <w:vMerge w:val="continue"/>
            <w:shd w:val="clear" w:color="auto" w:fill="auto"/>
          </w:tcPr>
          <w:p/>
        </w:tc>
        <w:tc>
          <w:tcPr>
            <w:tcW w:w="8350" w:type="dxa"/>
            <w:gridSpan w:val="2"/>
            <w:shd w:val="clear" w:color="auto" w:fill="auto"/>
            <w:vAlign w:val="top"/>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730" w:type="dxa"/>
            <w:vMerge w:val="continue"/>
            <w:shd w:val="clear" w:color="auto" w:fill="auto"/>
          </w:tcPr>
          <w:p/>
        </w:tc>
        <w:tc>
          <w:tcPr>
            <w:tcW w:w="8350" w:type="dxa"/>
            <w:gridSpan w:val="2"/>
            <w:shd w:val="clear" w:color="auto" w:fill="auto"/>
            <w:vAlign w:val="top"/>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730" w:type="dxa"/>
            <w:vMerge w:val="continue"/>
            <w:shd w:val="clear" w:color="auto" w:fill="auto"/>
          </w:tcPr>
          <w:p/>
        </w:tc>
        <w:tc>
          <w:tcPr>
            <w:tcW w:w="8350" w:type="dxa"/>
            <w:gridSpan w:val="2"/>
            <w:shd w:val="clear" w:color="auto" w:fill="auto"/>
            <w:vAlign w:val="top"/>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9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85"/>
        <w:gridCol w:w="2764"/>
        <w:gridCol w:w="2764"/>
        <w:gridCol w:w="2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trPr>
        <w:tc>
          <w:tcPr>
            <w:tcW w:w="1685" w:type="dxa"/>
            <w:vAlign w:val="center"/>
          </w:tcPr>
          <w:p>
            <w:pPr>
              <w:rPr>
                <w:rFonts w:ascii="宋体"/>
                <w:b/>
                <w:color w:val="0000FF"/>
                <w:szCs w:val="21"/>
              </w:rPr>
            </w:pPr>
            <w:r>
              <w:rPr>
                <w:rFonts w:hint="eastAsia" w:ascii="宋体"/>
                <w:b/>
                <w:color w:val="0000FF"/>
                <w:szCs w:val="21"/>
              </w:rPr>
              <w:t>突发事件的处置措施</w:t>
            </w:r>
          </w:p>
        </w:tc>
        <w:tc>
          <w:tcPr>
            <w:tcW w:w="8283"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trPr>
        <w:tc>
          <w:tcPr>
            <w:tcW w:w="1685" w:type="dxa"/>
            <w:vMerge w:val="restart"/>
            <w:vAlign w:val="center"/>
          </w:tcPr>
          <w:p>
            <w:pPr>
              <w:rPr>
                <w:rFonts w:ascii="宋体"/>
                <w:b/>
                <w:color w:val="0000FF"/>
                <w:szCs w:val="21"/>
              </w:rPr>
            </w:pPr>
            <w:r>
              <w:rPr>
                <w:rFonts w:hint="eastAsia"/>
                <w:b/>
                <w:bCs/>
                <w:color w:val="0000FF"/>
              </w:rPr>
              <w:t>远程审核的有效性评价（适用时）</w:t>
            </w:r>
          </w:p>
        </w:tc>
        <w:tc>
          <w:tcPr>
            <w:tcW w:w="8283"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trPr>
        <w:tc>
          <w:tcPr>
            <w:tcW w:w="1685" w:type="dxa"/>
            <w:vMerge w:val="continue"/>
            <w:vAlign w:val="center"/>
          </w:tcPr>
          <w:p>
            <w:pPr>
              <w:rPr>
                <w:rFonts w:ascii="宋体"/>
                <w:b/>
                <w:color w:val="0000FF"/>
                <w:szCs w:val="21"/>
              </w:rPr>
            </w:pPr>
          </w:p>
        </w:tc>
        <w:tc>
          <w:tcPr>
            <w:tcW w:w="8283"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trPr>
        <w:tc>
          <w:tcPr>
            <w:tcW w:w="1685" w:type="dxa"/>
          </w:tcPr>
          <w:p>
            <w:r>
              <w:rPr>
                <w:rFonts w:hint="eastAsia"/>
              </w:rPr>
              <w:t>审核组长签字</w:t>
            </w:r>
          </w:p>
        </w:tc>
        <w:tc>
          <w:tcPr>
            <w:tcW w:w="2764" w:type="dxa"/>
            <w:tcMar>
              <w:left w:w="113" w:type="dxa"/>
            </w:tcMar>
          </w:tcPr>
          <w:p>
            <w:pPr>
              <w:rPr>
                <w:rFonts w:hint="eastAsia" w:eastAsia="宋体"/>
                <w:lang w:eastAsia="zh-CN"/>
              </w:rPr>
            </w:pPr>
            <w:r>
              <w:rPr>
                <w:rFonts w:hint="eastAsia" w:eastAsia="宋体"/>
                <w:lang w:eastAsia="zh-CN"/>
              </w:rPr>
              <w:drawing>
                <wp:inline distT="0" distB="0" distL="114300" distR="114300">
                  <wp:extent cx="971550" cy="323850"/>
                  <wp:effectExtent l="0" t="0" r="6350" b="6350"/>
                  <wp:docPr id="2" name="图片 2" descr="1665595869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65595869997"/>
                          <pic:cNvPicPr>
                            <a:picLocks noChangeAspect="1"/>
                          </pic:cNvPicPr>
                        </pic:nvPicPr>
                        <pic:blipFill>
                          <a:blip r:embed="rId6"/>
                          <a:stretch>
                            <a:fillRect/>
                          </a:stretch>
                        </pic:blipFill>
                        <pic:spPr>
                          <a:xfrm>
                            <a:off x="0" y="0"/>
                            <a:ext cx="971550" cy="323850"/>
                          </a:xfrm>
                          <a:prstGeom prst="rect">
                            <a:avLst/>
                          </a:prstGeom>
                        </pic:spPr>
                      </pic:pic>
                    </a:graphicData>
                  </a:graphic>
                </wp:inline>
              </w:drawing>
            </w:r>
          </w:p>
          <w:p/>
        </w:tc>
        <w:tc>
          <w:tcPr>
            <w:tcW w:w="2764" w:type="dxa"/>
            <w:tcMar>
              <w:left w:w="113" w:type="dxa"/>
            </w:tcMar>
          </w:tcPr>
          <w:p>
            <w:r>
              <w:rPr>
                <w:rFonts w:hint="eastAsia"/>
              </w:rPr>
              <w:t>日期</w:t>
            </w:r>
          </w:p>
        </w:tc>
        <w:tc>
          <w:tcPr>
            <w:tcW w:w="2755" w:type="dxa"/>
            <w:tcMar>
              <w:left w:w="113" w:type="dxa"/>
            </w:tcMar>
            <w:vAlign w:val="center"/>
          </w:tcPr>
          <w:p>
            <w:pPr>
              <w:rPr>
                <w:rFonts w:hint="eastAsia" w:ascii="宋体" w:eastAsia="宋体"/>
                <w:b/>
                <w:color w:val="0000FF"/>
                <w:szCs w:val="21"/>
                <w:lang w:eastAsia="zh-CN"/>
              </w:rPr>
            </w:pPr>
            <w:r>
              <w:rPr>
                <w:rFonts w:hint="eastAsia" w:ascii="宋体" w:eastAsia="宋体"/>
                <w:b/>
                <w:color w:val="0000FF"/>
                <w:szCs w:val="21"/>
                <w:lang w:eastAsia="zh-CN"/>
              </w:rPr>
              <w:drawing>
                <wp:inline distT="0" distB="0" distL="114300" distR="114300">
                  <wp:extent cx="1073150" cy="273050"/>
                  <wp:effectExtent l="0" t="0" r="6350" b="6350"/>
                  <wp:docPr id="3" name="图片 3" descr="1665595893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65595893505"/>
                          <pic:cNvPicPr>
                            <a:picLocks noChangeAspect="1"/>
                          </pic:cNvPicPr>
                        </pic:nvPicPr>
                        <pic:blipFill>
                          <a:blip r:embed="rId7"/>
                          <a:stretch>
                            <a:fillRect/>
                          </a:stretch>
                        </pic:blipFill>
                        <pic:spPr>
                          <a:xfrm>
                            <a:off x="0" y="0"/>
                            <a:ext cx="1073150" cy="273050"/>
                          </a:xfrm>
                          <a:prstGeom prst="rect">
                            <a:avLst/>
                          </a:prstGeom>
                        </pic:spPr>
                      </pic:pic>
                    </a:graphicData>
                  </a:graphic>
                </wp:inline>
              </w:drawing>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p>
      <w:pPr>
        <w:shd w:val="clear" w:color="auto" w:fill="C7DAF1" w:themeFill="text2" w:themeFillTint="32"/>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A3"/>
            </w:r>
            <w:r>
              <w:rPr>
                <w:rFonts w:hint="eastAsia"/>
              </w:rPr>
              <w:t>QMS体系建立以来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rPr>
                <w:rFonts w:hint="default"/>
              </w:rPr>
            </w:pPr>
            <w:r>
              <w:rPr>
                <w:rFonts w:hint="eastAsia"/>
              </w:rPr>
              <w:t>审核内容总结</w:t>
            </w:r>
            <w:r>
              <w:rPr>
                <w:rFonts w:hint="default"/>
              </w:rPr>
              <w:t>：</w:t>
            </w:r>
          </w:p>
          <w:p>
            <w:pPr>
              <w:pStyle w:val="2"/>
              <w:rPr>
                <w:rFonts w:hint="default"/>
              </w:rPr>
            </w:pPr>
            <w:r>
              <w:rPr>
                <w:rFonts w:hint="default"/>
              </w:rPr>
              <w:t>管理层：</w:t>
            </w:r>
            <w:r>
              <w:rPr>
                <w:rFonts w:hint="eastAsia"/>
                <w:lang w:eastAsia="zh-CN"/>
              </w:rPr>
              <w:t>Q</w:t>
            </w:r>
            <w:r>
              <w:rPr>
                <w:rFonts w:hint="default"/>
                <w:lang w:eastAsia="zh-CN"/>
              </w:rPr>
              <w:t>：</w:t>
            </w:r>
            <w:r>
              <w:rPr>
                <w:rFonts w:hint="default"/>
              </w:rPr>
              <w:t>4.1、4.2、4.3、4.4、5.1、5.2、5.3、6.1、6.2、6.3、7.1.1、7.4、9.1.1、9.3、10.1、10.3资质验证/范围再确认/上次审核问题整改验证/投诉或事故/政府主管部门监督抽查情况</w:t>
            </w:r>
          </w:p>
          <w:p>
            <w:pPr>
              <w:pStyle w:val="2"/>
              <w:rPr>
                <w:rFonts w:hint="default"/>
              </w:rPr>
            </w:pPr>
            <w:r>
              <w:rPr>
                <w:rFonts w:hint="default"/>
              </w:rPr>
              <w:t>业务部（含原料、成品仓库）：5.3、6.2、8.2、8.4、8.5.3、8.5.4、8.5.5、9.1.2</w:t>
            </w:r>
          </w:p>
          <w:p>
            <w:pPr>
              <w:pStyle w:val="2"/>
              <w:rPr>
                <w:rFonts w:hint="default"/>
              </w:rPr>
            </w:pPr>
            <w:r>
              <w:rPr>
                <w:rFonts w:hint="default"/>
              </w:rPr>
              <w:t>办公室：Q:5.3、6.2、7.1.2、7.1.6、7.2、7.3、7.5、9.1.3、9.2、10.2</w:t>
            </w:r>
          </w:p>
          <w:p>
            <w:pPr>
              <w:pStyle w:val="2"/>
              <w:rPr>
                <w:rFonts w:hint="default"/>
              </w:rPr>
            </w:pPr>
            <w:r>
              <w:rPr>
                <w:rFonts w:hint="default"/>
              </w:rPr>
              <w:t xml:space="preserve">生产部：Q:5.3、6.2、7.1.3、7.1.4、8.1、8.5.1、8.5.2、8.5.4 </w:t>
            </w:r>
          </w:p>
          <w:p>
            <w:pPr>
              <w:pStyle w:val="2"/>
              <w:rPr>
                <w:rFonts w:hint="default"/>
              </w:rPr>
            </w:pPr>
            <w:r>
              <w:rPr>
                <w:rFonts w:hint="default"/>
              </w:rPr>
              <w:t xml:space="preserve">品质部：Q:5.3、6.2、7.1.5、8.3、8.5.6、8.6、8.7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vAlign w:val="top"/>
                </w:tcPr>
                <w:p>
                  <w:pPr>
                    <w:shd w:val="clear" w:color="auto" w:fill="C7DAF1"/>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w:t>
                  </w:r>
                  <w:r>
                    <w:rPr>
                      <w:rFonts w:hint="eastAsia"/>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vAlign w:val="top"/>
                </w:tcPr>
                <w:p>
                  <w:pPr>
                    <w:shd w:val="clear" w:color="auto" w:fill="C7DAF1"/>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w:t>
                  </w:r>
                  <w:r>
                    <w:rPr>
                      <w:rFonts w:hint="eastAsia"/>
                    </w:rPr>
                    <w:sym w:font="Wingdings 2" w:char="00A3"/>
                  </w:r>
                  <w:r>
                    <w:rPr>
                      <w:rFonts w:hint="eastAsia"/>
                    </w:rPr>
                    <w:t>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rPr>
                    <w:sym w:font="Wingdings 2" w:char="0052"/>
                  </w:r>
                  <w:r>
                    <w:rPr>
                      <w:rFonts w:hint="eastAsia"/>
                    </w:rPr>
                    <w:t>主管部门</w:t>
                  </w:r>
                </w:p>
              </w:tc>
              <w:tc>
                <w:tcPr>
                  <w:tcW w:w="6912" w:type="dxa"/>
                  <w:vAlign w:val="top"/>
                </w:tcPr>
                <w:p>
                  <w:pPr>
                    <w:shd w:val="clear" w:color="auto" w:fill="C7DAF1" w:themeFill="text2" w:themeFillTint="32"/>
                  </w:pPr>
                  <w:r>
                    <w:rPr>
                      <w:rFonts w:hint="eastAsia"/>
                      <w:color w:val="000000"/>
                      <w:lang w:eastAsia="zh-CN"/>
                    </w:rPr>
                    <w:sym w:font="Wingdings 2" w:char="0052"/>
                  </w: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rPr>
                    <w:sym w:font="Wingdings 2" w:char="0052"/>
                  </w:r>
                  <w:r>
                    <w:rPr>
                      <w:rFonts w:hint="eastAsia"/>
                    </w:rPr>
                    <w:t>供方</w:t>
                  </w:r>
                </w:p>
              </w:tc>
              <w:tc>
                <w:tcPr>
                  <w:tcW w:w="6912" w:type="dxa"/>
                  <w:vAlign w:val="top"/>
                </w:tcPr>
                <w:p>
                  <w:pPr>
                    <w:shd w:val="clear" w:color="auto" w:fill="C7DAF1" w:themeFill="text2" w:themeFillTint="32"/>
                  </w:pPr>
                  <w:r>
                    <w:rPr>
                      <w:rFonts w:hint="eastAsia"/>
                      <w:color w:val="000000"/>
                      <w:lang w:eastAsia="zh-CN"/>
                    </w:rPr>
                    <w:sym w:font="Wingdings 2" w:char="0052"/>
                  </w: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rPr>
                    <w:sym w:font="Wingdings 2" w:char="0052"/>
                  </w:r>
                  <w:r>
                    <w:rPr>
                      <w:rFonts w:hint="eastAsia"/>
                    </w:rPr>
                    <w:t>顾客</w:t>
                  </w:r>
                </w:p>
              </w:tc>
              <w:tc>
                <w:tcPr>
                  <w:tcW w:w="6912" w:type="dxa"/>
                  <w:vAlign w:val="top"/>
                </w:tcPr>
                <w:p>
                  <w:pPr>
                    <w:shd w:val="clear" w:color="auto" w:fill="C7DAF1" w:themeFill="text2" w:themeFillTint="32"/>
                  </w:pPr>
                  <w:r>
                    <w:rPr>
                      <w:rFonts w:hint="eastAsia"/>
                      <w:color w:val="000000"/>
                      <w:lang w:eastAsia="zh-CN"/>
                    </w:rPr>
                    <w:sym w:font="Wingdings 2" w:char="0052"/>
                  </w: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rPr>
                    <w:sym w:font="Wingdings 2" w:char="0052"/>
                  </w:r>
                  <w:r>
                    <w:rPr>
                      <w:rFonts w:hint="eastAsia"/>
                    </w:rPr>
                    <w:t>消费者</w:t>
                  </w:r>
                </w:p>
              </w:tc>
              <w:tc>
                <w:tcPr>
                  <w:tcW w:w="6912" w:type="dxa"/>
                  <w:vAlign w:val="top"/>
                </w:tcPr>
                <w:p>
                  <w:pPr>
                    <w:shd w:val="clear" w:color="auto" w:fill="C7DAF1" w:themeFill="text2" w:themeFillTint="32"/>
                  </w:pPr>
                  <w:r>
                    <w:rPr>
                      <w:rFonts w:hint="eastAsia"/>
                      <w:color w:val="000000"/>
                      <w:lang w:eastAsia="zh-CN"/>
                    </w:rPr>
                    <w:sym w:font="Wingdings 2" w:char="0052"/>
                  </w: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rPr>
                    <w:sym w:font="Wingdings 2" w:char="0052"/>
                  </w:r>
                  <w:r>
                    <w:rPr>
                      <w:rFonts w:hint="eastAsia"/>
                    </w:rPr>
                    <w:t>员工</w:t>
                  </w:r>
                </w:p>
              </w:tc>
              <w:tc>
                <w:tcPr>
                  <w:tcW w:w="6912" w:type="dxa"/>
                  <w:vAlign w:val="top"/>
                </w:tcPr>
                <w:p>
                  <w:pPr>
                    <w:shd w:val="clear" w:color="auto" w:fill="C7DAF1" w:themeFill="text2" w:themeFillTint="32"/>
                  </w:pPr>
                  <w:r>
                    <w:rPr>
                      <w:rFonts w:hint="eastAsia"/>
                      <w:color w:val="000000"/>
                      <w:lang w:eastAsia="zh-CN"/>
                    </w:rPr>
                    <w:sym w:font="Wingdings 2" w:char="0052"/>
                  </w: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rPr>
                    <w:sym w:font="Wingdings 2" w:char="00A3"/>
                  </w:r>
                  <w:r>
                    <w:rPr>
                      <w:rFonts w:hint="eastAsia"/>
                    </w:rPr>
                    <w:t>投资方</w:t>
                  </w:r>
                </w:p>
              </w:tc>
              <w:tc>
                <w:tcPr>
                  <w:tcW w:w="6912" w:type="dxa"/>
                  <w:vAlign w:val="top"/>
                </w:tcPr>
                <w:p>
                  <w:pPr>
                    <w:shd w:val="clear" w:color="auto" w:fill="C7DAF1" w:themeFill="text2" w:themeFillTint="32"/>
                  </w:pPr>
                  <w:r>
                    <w:rPr>
                      <w:rFonts w:hint="eastAsia"/>
                      <w:color w:val="000000"/>
                      <w:lang w:eastAsia="zh-CN"/>
                    </w:rPr>
                    <w:t>□</w:t>
                  </w: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rPr>
                    <w:t>□其他</w:t>
                  </w:r>
                </w:p>
              </w:tc>
              <w:tc>
                <w:tcPr>
                  <w:tcW w:w="6912" w:type="dxa"/>
                  <w:vAlign w:val="top"/>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spacing w:before="40" w:after="40"/>
            </w:pPr>
            <w:r>
              <w:rPr>
                <w:rFonts w:hint="eastAsia"/>
              </w:rPr>
              <w:sym w:font="Wingdings 2" w:char="0052"/>
            </w:r>
            <w:r>
              <w:rPr>
                <w:rFonts w:hint="eastAsia"/>
              </w:rPr>
              <w:t>市场拓展</w:t>
            </w:r>
            <w:r>
              <w:rPr>
                <w:rFonts w:hint="eastAsia"/>
              </w:rPr>
              <w:sym w:font="Wingdings 2" w:char="0052"/>
            </w:r>
            <w:r>
              <w:rPr>
                <w:rFonts w:hint="eastAsia"/>
              </w:rPr>
              <w:t>设备能力</w:t>
            </w:r>
            <w:r>
              <w:rPr>
                <w:rFonts w:hint="eastAsia"/>
              </w:rPr>
              <w:sym w:font="Wingdings 2" w:char="0052"/>
            </w:r>
            <w:r>
              <w:rPr>
                <w:rFonts w:hint="eastAsia"/>
              </w:rPr>
              <w:t>人员能力</w:t>
            </w:r>
            <w:r>
              <w:rPr>
                <w:rFonts w:hint="eastAsia"/>
              </w:rPr>
              <w:sym w:font="Wingdings 2" w:char="0052"/>
            </w:r>
            <w:r>
              <w:rPr>
                <w:rFonts w:hint="eastAsia"/>
              </w:rPr>
              <w:t>检测水平</w:t>
            </w:r>
            <w:r>
              <w:rPr>
                <w:rFonts w:hint="eastAsia"/>
              </w:rPr>
              <w:sym w:font="Wingdings 2" w:char="0052"/>
            </w:r>
            <w:r>
              <w:rPr>
                <w:rFonts w:hint="eastAsia"/>
              </w:rPr>
              <w:t>合同评审</w:t>
            </w:r>
            <w:r>
              <w:rPr>
                <w:rFonts w:hint="eastAsia"/>
              </w:rPr>
              <w:sym w:font="Wingdings 2" w:char="0052"/>
            </w:r>
            <w:r>
              <w:rPr>
                <w:rFonts w:hint="eastAsia"/>
              </w:rPr>
              <w:t>知识保密</w:t>
            </w:r>
          </w:p>
          <w:p>
            <w:pPr>
              <w:shd w:val="clear" w:color="auto" w:fill="C7DAF1"/>
              <w:spacing w:before="40" w:after="40"/>
            </w:pPr>
            <w:r>
              <w:rPr>
                <w:rFonts w:hint="eastAsia"/>
              </w:rPr>
              <w:t>□新产品设计开发</w:t>
            </w:r>
            <w:r>
              <w:rPr>
                <w:rFonts w:hint="eastAsia"/>
              </w:rPr>
              <w:sym w:font="Wingdings 2" w:char="0052"/>
            </w:r>
            <w:r>
              <w:rPr>
                <w:rFonts w:hint="eastAsia"/>
              </w:rPr>
              <w:t>原材料采购</w:t>
            </w:r>
            <w:r>
              <w:rPr>
                <w:rFonts w:hint="eastAsia"/>
              </w:rPr>
              <w:sym w:font="Wingdings 2" w:char="0052"/>
            </w:r>
            <w:r>
              <w:rPr>
                <w:rFonts w:hint="eastAsia"/>
              </w:rPr>
              <w:t>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shd w:val="clear" w:color="auto" w:fill="C7DAF1" w:themeFill="text2" w:themeFillTint="32"/>
              <w:rPr>
                <w:u w:val="single"/>
              </w:rPr>
            </w:pPr>
            <w:r>
              <w:rPr>
                <w:rFonts w:hint="eastAsia"/>
                <w:u w:val="single"/>
              </w:rPr>
              <w:t>精益求精、质量第一、顾客满意。</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办公室</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rPr>
                      <w:rFonts w:ascii="Times New Roman" w:hAnsi="Times New Roman" w:eastAsia="宋体" w:cs="Times New Roman"/>
                      <w:kern w:val="2"/>
                      <w:sz w:val="21"/>
                      <w:szCs w:val="24"/>
                      <w:lang w:val="en-US" w:eastAsia="zh-CN" w:bidi="ar-SA"/>
                    </w:rPr>
                  </w:pPr>
                  <w:r>
                    <w:rPr>
                      <w:rFonts w:hint="eastAsia"/>
                    </w:rPr>
                    <w:t>客户对产品质量标准提高，材料要求环保材料，以及对供应周期和售后服务的期望值提升，给公司材料采购、生产、质量和售后管理提出新的要求</w:t>
                  </w:r>
                  <w:r>
                    <w:rPr>
                      <w:rFonts w:hint="eastAsia"/>
                      <w:lang w:eastAsia="zh-CN"/>
                    </w:rPr>
                    <w:t>。</w:t>
                  </w:r>
                </w:p>
              </w:tc>
              <w:tc>
                <w:tcPr>
                  <w:tcW w:w="3965" w:type="dxa"/>
                  <w:vAlign w:val="top"/>
                </w:tcPr>
                <w:p>
                  <w:pPr>
                    <w:shd w:val="clear" w:color="auto" w:fill="C7DAF1"/>
                    <w:rPr>
                      <w:rFonts w:ascii="Times New Roman" w:hAnsi="Times New Roman" w:eastAsia="宋体" w:cs="Times New Roman"/>
                      <w:kern w:val="2"/>
                      <w:sz w:val="21"/>
                      <w:szCs w:val="24"/>
                      <w:lang w:val="en-US" w:eastAsia="zh-CN" w:bidi="ar-SA"/>
                    </w:rPr>
                  </w:pPr>
                  <w:r>
                    <w:rPr>
                      <w:rFonts w:hint="eastAsia"/>
                    </w:rPr>
                    <w:t>加强与客户进行质量标准制定的沟通，统一双方的标准和检测方法；生产部门做好生产计划的安排，保证生产计划的执行；</w:t>
                  </w:r>
                  <w:r>
                    <w:rPr>
                      <w:rFonts w:hint="eastAsia"/>
                      <w:lang w:eastAsia="zh-CN"/>
                    </w:rPr>
                    <w:t>业务部</w:t>
                  </w:r>
                  <w:r>
                    <w:rPr>
                      <w:rFonts w:hint="eastAsia"/>
                    </w:rPr>
                    <w:t>加大客户交流沟通，及时处理客户的需求和意见</w:t>
                  </w:r>
                </w:p>
              </w:tc>
              <w:tc>
                <w:tcPr>
                  <w:tcW w:w="1717" w:type="dxa"/>
                  <w:vAlign w:val="top"/>
                </w:tcPr>
                <w:p>
                  <w:pPr>
                    <w:shd w:val="clear" w:color="auto" w:fill="C7DAF1"/>
                    <w:rPr>
                      <w:rFonts w:ascii="Times New Roman" w:hAnsi="Times New Roman" w:eastAsia="宋体" w:cs="Times New Roman"/>
                      <w:kern w:val="2"/>
                      <w:sz w:val="21"/>
                      <w:szCs w:val="24"/>
                      <w:lang w:val="en-US" w:eastAsia="zh-CN" w:bidi="ar-SA"/>
                    </w:rPr>
                  </w:pPr>
                  <w:r>
                    <w:rPr>
                      <w:rFonts w:hint="eastAsia"/>
                      <w:lang w:val="en-US" w:eastAsia="zh-CN"/>
                    </w:rPr>
                    <w:t>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rPr>
                      <w:rFonts w:ascii="Times New Roman" w:hAnsi="Times New Roman" w:eastAsia="宋体" w:cs="Times New Roman"/>
                      <w:kern w:val="2"/>
                      <w:sz w:val="21"/>
                      <w:szCs w:val="24"/>
                      <w:lang w:val="en-US" w:eastAsia="zh-CN" w:bidi="ar-SA"/>
                    </w:rPr>
                  </w:pPr>
                  <w:r>
                    <w:rPr>
                      <w:rFonts w:hint="eastAsia"/>
                    </w:rPr>
                    <w:t>监管部门监管力度的加大，如公司执行不规范，可能存在被查处的风险</w:t>
                  </w:r>
                  <w:r>
                    <w:rPr>
                      <w:rFonts w:hint="eastAsia"/>
                      <w:lang w:eastAsia="zh-CN"/>
                    </w:rPr>
                    <w:t>。</w:t>
                  </w:r>
                </w:p>
              </w:tc>
              <w:tc>
                <w:tcPr>
                  <w:tcW w:w="3965" w:type="dxa"/>
                  <w:vAlign w:val="top"/>
                </w:tcPr>
                <w:p>
                  <w:pPr>
                    <w:shd w:val="clear" w:color="auto" w:fill="C7DAF1"/>
                    <w:rPr>
                      <w:rFonts w:ascii="Times New Roman" w:hAnsi="Times New Roman" w:eastAsia="宋体" w:cs="Times New Roman"/>
                      <w:kern w:val="2"/>
                      <w:sz w:val="21"/>
                      <w:szCs w:val="24"/>
                      <w:lang w:val="en-US" w:eastAsia="zh-CN" w:bidi="ar-SA"/>
                    </w:rPr>
                  </w:pPr>
                  <w:r>
                    <w:rPr>
                      <w:rFonts w:hint="eastAsia"/>
                    </w:rPr>
                    <w:t>各级部门严格按照公司的规章制度开展相关工作</w:t>
                  </w:r>
                </w:p>
              </w:tc>
              <w:tc>
                <w:tcPr>
                  <w:tcW w:w="1717" w:type="dxa"/>
                  <w:vAlign w:val="top"/>
                </w:tcPr>
                <w:p>
                  <w:pPr>
                    <w:shd w:val="clear" w:color="auto" w:fill="C7DAF1"/>
                    <w:rPr>
                      <w:rFonts w:ascii="Times New Roman" w:hAnsi="Times New Roman" w:eastAsia="宋体" w:cs="Times New Roman"/>
                      <w:kern w:val="2"/>
                      <w:sz w:val="21"/>
                      <w:szCs w:val="24"/>
                      <w:lang w:val="en-US" w:eastAsia="zh-CN" w:bidi="ar-SA"/>
                    </w:rPr>
                  </w:pPr>
                  <w:r>
                    <w:rPr>
                      <w:rFonts w:hint="eastAsia"/>
                      <w:lang w:val="en-US" w:eastAsia="zh-CN"/>
                    </w:rPr>
                    <w:t>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rPr>
                      <w:rFonts w:ascii="Times New Roman" w:hAnsi="Times New Roman" w:eastAsia="宋体" w:cs="Times New Roman"/>
                      <w:kern w:val="2"/>
                      <w:sz w:val="21"/>
                      <w:szCs w:val="24"/>
                      <w:lang w:val="en-US" w:eastAsia="zh-CN" w:bidi="ar-SA"/>
                    </w:rPr>
                  </w:pPr>
                  <w:r>
                    <w:rPr>
                      <w:rFonts w:hint="eastAsia" w:ascii="宋体" w:hAnsi="宋体" w:eastAsia="宋体" w:cs="宋体"/>
                      <w:color w:val="auto"/>
                      <w:sz w:val="21"/>
                      <w:szCs w:val="21"/>
                      <w:lang w:eastAsia="zh-CN" w:bidi="ar-SA"/>
                    </w:rPr>
                    <w:t>原材料市场不稳定，希望签订的年度合同和保底价格，带来的采购和资金风险。</w:t>
                  </w:r>
                </w:p>
              </w:tc>
              <w:tc>
                <w:tcPr>
                  <w:tcW w:w="3965" w:type="dxa"/>
                  <w:vAlign w:val="top"/>
                </w:tcPr>
                <w:p>
                  <w:pPr>
                    <w:shd w:val="clear" w:color="auto" w:fill="C7DAF1"/>
                    <w:rPr>
                      <w:rFonts w:ascii="Times New Roman" w:hAnsi="Times New Roman" w:eastAsia="宋体" w:cs="Times New Roman"/>
                      <w:kern w:val="2"/>
                      <w:sz w:val="21"/>
                      <w:szCs w:val="24"/>
                      <w:lang w:val="en-US" w:eastAsia="zh-CN" w:bidi="ar-SA"/>
                    </w:rPr>
                  </w:pPr>
                  <w:r>
                    <w:rPr>
                      <w:rFonts w:hint="eastAsia" w:ascii="宋体" w:hAnsi="宋体" w:eastAsia="宋体" w:cs="宋体"/>
                      <w:color w:val="auto"/>
                      <w:sz w:val="21"/>
                      <w:szCs w:val="21"/>
                      <w:lang w:eastAsia="zh-CN" w:bidi="ar-SA"/>
                    </w:rPr>
                    <w:t>对公司影响较大的大宗原材料做好年度采购计划</w:t>
                  </w:r>
                </w:p>
              </w:tc>
              <w:tc>
                <w:tcPr>
                  <w:tcW w:w="1717" w:type="dxa"/>
                  <w:vAlign w:val="top"/>
                </w:tcPr>
                <w:p>
                  <w:pPr>
                    <w:shd w:val="clear" w:color="auto" w:fill="C7DAF1"/>
                    <w:rPr>
                      <w:rFonts w:ascii="Times New Roman" w:hAnsi="Times New Roman" w:eastAsia="宋体" w:cs="Times New Roman"/>
                      <w:kern w:val="2"/>
                      <w:sz w:val="21"/>
                      <w:szCs w:val="24"/>
                      <w:lang w:val="en-US" w:eastAsia="zh-CN" w:bidi="ar-SA"/>
                    </w:rPr>
                  </w:pPr>
                  <w:r>
                    <w:rPr>
                      <w:rFonts w:hint="eastAsia"/>
                      <w:lang w:val="en-US" w:eastAsia="zh-CN"/>
                    </w:rPr>
                    <w:t>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360" w:lineRule="auto"/>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eastAsia="zh-CN"/>
                    </w:rPr>
                    <w:t xml:space="preserve"> 产品一次交检合格率≥9</w:t>
                  </w:r>
                  <w:r>
                    <w:rPr>
                      <w:rFonts w:hint="eastAsia" w:cs="Times New Roman"/>
                      <w:szCs w:val="21"/>
                      <w:lang w:val="en-US" w:eastAsia="zh-CN"/>
                    </w:rPr>
                    <w:t>8</w:t>
                  </w:r>
                  <w:r>
                    <w:rPr>
                      <w:rFonts w:hint="eastAsia" w:ascii="Times New Roman" w:hAnsi="Times New Roman" w:eastAsia="宋体" w:cs="Times New Roman"/>
                      <w:szCs w:val="21"/>
                      <w:lang w:eastAsia="zh-CN"/>
                    </w:rPr>
                    <w:t>%</w:t>
                  </w:r>
                </w:p>
              </w:tc>
              <w:tc>
                <w:tcPr>
                  <w:tcW w:w="3136" w:type="dxa"/>
                  <w:shd w:val="clear" w:color="auto" w:fill="auto"/>
                  <w:vAlign w:val="center"/>
                </w:tcPr>
                <w:p>
                  <w:pPr>
                    <w:spacing w:line="360" w:lineRule="auto"/>
                    <w:jc w:val="center"/>
                    <w:rPr>
                      <w:rFonts w:hint="eastAsia" w:ascii="Times New Roman" w:hAnsi="Times New Roman" w:eastAsia="宋体" w:cs="Times New Roman"/>
                      <w:kern w:val="2"/>
                      <w:sz w:val="21"/>
                      <w:szCs w:val="21"/>
                      <w:lang w:val="en-GB" w:eastAsia="zh-CN" w:bidi="ar-SA"/>
                    </w:rPr>
                  </w:pPr>
                  <w:r>
                    <w:rPr>
                      <w:rFonts w:hint="eastAsia" w:ascii="Times New Roman" w:hAnsi="Times New Roman" w:eastAsia="宋体" w:cs="Times New Roman"/>
                      <w:szCs w:val="21"/>
                      <w:lang w:eastAsia="zh-CN"/>
                    </w:rPr>
                    <w:t xml:space="preserve"> 产品一次交检</w:t>
                  </w:r>
                  <w:r>
                    <w:rPr>
                      <w:rFonts w:hint="eastAsia" w:ascii="Times New Roman" w:hAnsi="Times New Roman" w:eastAsia="宋体" w:cs="Times New Roman"/>
                      <w:szCs w:val="21"/>
                    </w:rPr>
                    <w:t>合格产品数/生产产品总数×100%</w:t>
                  </w:r>
                </w:p>
              </w:tc>
              <w:tc>
                <w:tcPr>
                  <w:tcW w:w="1350" w:type="dxa"/>
                  <w:shd w:val="clear" w:color="auto" w:fill="auto"/>
                  <w:vAlign w:val="center"/>
                </w:tcPr>
                <w:p>
                  <w:pPr>
                    <w:shd w:val="clear" w:color="auto" w:fill="C7DAF1" w:themeFill="text2" w:themeFillTint="32"/>
                    <w:rPr>
                      <w:rFonts w:hint="default" w:eastAsia="宋体"/>
                      <w:lang w:val="en-US" w:eastAsia="zh-CN"/>
                    </w:rPr>
                  </w:pPr>
                  <w:r>
                    <w:rPr>
                      <w:rFonts w:hint="eastAsia"/>
                      <w:lang w:val="en-US" w:eastAsia="zh-CN"/>
                    </w:rPr>
                    <w:t>品质部</w:t>
                  </w:r>
                </w:p>
              </w:tc>
              <w:tc>
                <w:tcPr>
                  <w:tcW w:w="1774" w:type="dxa"/>
                  <w:shd w:val="clear" w:color="auto" w:fill="auto"/>
                  <w:vAlign w:val="center"/>
                </w:tcPr>
                <w:p>
                  <w:pPr>
                    <w:spacing w:line="360" w:lineRule="auto"/>
                    <w:jc w:val="center"/>
                    <w:rPr>
                      <w:rFonts w:hint="eastAsia" w:ascii="Times New Roman" w:hAnsi="Times New Roman" w:eastAsia="宋体" w:cs="Times New Roman"/>
                      <w:kern w:val="2"/>
                      <w:sz w:val="21"/>
                      <w:szCs w:val="21"/>
                      <w:lang w:val="en-GB" w:eastAsia="zh-CN" w:bidi="ar-SA"/>
                    </w:rPr>
                  </w:pPr>
                  <w:r>
                    <w:rPr>
                      <w:rFonts w:hint="eastAsia" w:cs="Times New Roman"/>
                      <w:szCs w:val="21"/>
                      <w:lang w:val="en-US" w:eastAsia="zh-CN"/>
                    </w:rPr>
                    <w:t>99</w:t>
                  </w:r>
                  <w:r>
                    <w:rPr>
                      <w:rFonts w:hint="eastAsia"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360" w:lineRule="auto"/>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rPr>
                    <w:t>顾客满意率≥94分</w:t>
                  </w:r>
                </w:p>
              </w:tc>
              <w:tc>
                <w:tcPr>
                  <w:tcW w:w="3136" w:type="dxa"/>
                  <w:shd w:val="clear" w:color="auto" w:fill="auto"/>
                  <w:vAlign w:val="center"/>
                </w:tcPr>
                <w:p>
                  <w:pPr>
                    <w:spacing w:line="360" w:lineRule="auto"/>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rPr>
                    <w:t>调查回收的顾客满意度分数之和</w:t>
                  </w:r>
                  <w:r>
                    <w:rPr>
                      <w:rFonts w:hint="eastAsia" w:cs="Times New Roman"/>
                      <w:szCs w:val="21"/>
                      <w:lang w:val="en-US" w:eastAsia="zh-CN"/>
                    </w:rPr>
                    <w:t>的平均值</w:t>
                  </w:r>
                </w:p>
              </w:tc>
              <w:tc>
                <w:tcPr>
                  <w:tcW w:w="1350" w:type="dxa"/>
                  <w:shd w:val="clear" w:color="auto" w:fill="auto"/>
                  <w:vAlign w:val="center"/>
                </w:tcPr>
                <w:p>
                  <w:pPr>
                    <w:shd w:val="clear" w:color="auto" w:fill="C7DAF1" w:themeFill="text2" w:themeFillTint="32"/>
                    <w:rPr>
                      <w:rFonts w:hint="default" w:ascii="宋体" w:hAnsi="宋体" w:eastAsia="宋体"/>
                      <w:lang w:val="en-US" w:eastAsia="zh-CN"/>
                    </w:rPr>
                  </w:pPr>
                  <w:r>
                    <w:rPr>
                      <w:rFonts w:hint="eastAsia" w:ascii="宋体" w:hAnsi="宋体"/>
                      <w:lang w:val="en-US" w:eastAsia="zh-CN"/>
                    </w:rPr>
                    <w:t>业务部</w:t>
                  </w:r>
                </w:p>
              </w:tc>
              <w:tc>
                <w:tcPr>
                  <w:tcW w:w="1774" w:type="dxa"/>
                  <w:shd w:val="clear" w:color="auto" w:fill="auto"/>
                  <w:vAlign w:val="center"/>
                </w:tcPr>
                <w:p>
                  <w:pPr>
                    <w:spacing w:line="360" w:lineRule="auto"/>
                    <w:jc w:val="center"/>
                    <w:rPr>
                      <w:rFonts w:hint="eastAsia" w:ascii="Times New Roman" w:hAnsi="Times New Roman" w:eastAsia="宋体" w:cs="Times New Roman"/>
                      <w:kern w:val="2"/>
                      <w:sz w:val="21"/>
                      <w:szCs w:val="21"/>
                      <w:lang w:val="en-US" w:eastAsia="zh-CN" w:bidi="ar-SA"/>
                    </w:rPr>
                  </w:pPr>
                  <w:r>
                    <w:rPr>
                      <w:rFonts w:hint="eastAsia" w:cs="Times New Roman"/>
                      <w:szCs w:val="21"/>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sym w:font="Wingdings 2" w:char="0052"/>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800</w:t>
            </w:r>
            <w:r>
              <w:rPr>
                <w:rFonts w:hint="eastAsia"/>
              </w:rPr>
              <w:t>平方米；生产车间</w:t>
            </w:r>
            <w:r>
              <w:rPr>
                <w:rFonts w:hint="eastAsia"/>
                <w:lang w:val="en-US" w:eastAsia="zh-CN"/>
              </w:rPr>
              <w:t>2</w:t>
            </w:r>
            <w:r>
              <w:rPr>
                <w:rFonts w:hint="eastAsia"/>
              </w:rPr>
              <w:t>个；库房</w:t>
            </w:r>
            <w:r>
              <w:rPr>
                <w:rFonts w:hint="eastAsia"/>
                <w:lang w:val="en-US" w:eastAsia="zh-CN"/>
              </w:rPr>
              <w:t>1</w:t>
            </w:r>
            <w:r>
              <w:rPr>
                <w:rFonts w:hint="eastAsia"/>
              </w:rPr>
              <w:t>个；实验室</w:t>
            </w:r>
            <w:r>
              <w:rPr>
                <w:rFonts w:hint="eastAsia"/>
                <w:lang w:val="en-US" w:eastAsia="zh-CN"/>
              </w:rPr>
              <w:t>0</w:t>
            </w:r>
            <w:r>
              <w:rPr>
                <w:rFonts w:hint="eastAsia"/>
              </w:rPr>
              <w:t>个；</w:t>
            </w:r>
          </w:p>
          <w:p>
            <w:pPr>
              <w:shd w:val="clear" w:color="auto" w:fill="C7DAF1" w:themeFill="text2" w:themeFillTint="32"/>
              <w:rPr>
                <w:rFonts w:hint="eastAsia"/>
                <w:u w:val="single"/>
              </w:rPr>
            </w:pPr>
            <w:r>
              <w:rPr>
                <w:rFonts w:hint="eastAsia"/>
              </w:rPr>
              <w:t>主要生产设备有：</w:t>
            </w:r>
            <w:r>
              <w:rPr>
                <w:rFonts w:hint="eastAsia"/>
                <w:u w:val="single"/>
              </w:rPr>
              <w:t>双面木工刨床</w:t>
            </w:r>
            <w:r>
              <w:rPr>
                <w:rFonts w:hint="eastAsia"/>
                <w:u w:val="single"/>
                <w:lang w:eastAsia="zh-CN"/>
              </w:rPr>
              <w:t>、</w:t>
            </w:r>
            <w:r>
              <w:rPr>
                <w:rFonts w:hint="eastAsia"/>
                <w:u w:val="single"/>
              </w:rPr>
              <w:t>平刨</w:t>
            </w:r>
            <w:r>
              <w:rPr>
                <w:rFonts w:hint="eastAsia"/>
                <w:u w:val="single"/>
                <w:lang w:eastAsia="zh-CN"/>
              </w:rPr>
              <w:t>、</w:t>
            </w:r>
            <w:r>
              <w:rPr>
                <w:rFonts w:hint="eastAsia"/>
                <w:u w:val="single"/>
              </w:rPr>
              <w:t>木工多功能机床</w:t>
            </w:r>
            <w:r>
              <w:rPr>
                <w:rFonts w:hint="eastAsia"/>
                <w:u w:val="single"/>
                <w:lang w:eastAsia="zh-CN"/>
              </w:rPr>
              <w:t>、</w:t>
            </w:r>
            <w:r>
              <w:rPr>
                <w:rFonts w:hint="eastAsia"/>
                <w:u w:val="single"/>
              </w:rPr>
              <w:t>精密裁板锯</w:t>
            </w:r>
            <w:r>
              <w:rPr>
                <w:rFonts w:hint="eastAsia"/>
                <w:u w:val="single"/>
                <w:lang w:eastAsia="zh-CN"/>
              </w:rPr>
              <w:t>、</w:t>
            </w:r>
            <w:r>
              <w:rPr>
                <w:rFonts w:hint="eastAsia"/>
                <w:u w:val="single"/>
              </w:rPr>
              <w:t>烘干房</w:t>
            </w:r>
            <w:r>
              <w:rPr>
                <w:rFonts w:hint="eastAsia"/>
                <w:u w:val="single"/>
                <w:lang w:eastAsia="zh-CN"/>
              </w:rPr>
              <w:t>、</w:t>
            </w:r>
            <w:r>
              <w:rPr>
                <w:rFonts w:hint="eastAsia"/>
                <w:u w:val="single"/>
              </w:rPr>
              <w:t>圆锯机</w:t>
            </w:r>
          </w:p>
          <w:p>
            <w:pPr>
              <w:shd w:val="clear" w:color="auto" w:fill="C7DAF1" w:themeFill="text2" w:themeFillTint="32"/>
              <w:rPr>
                <w:u w:val="single"/>
              </w:rPr>
            </w:pPr>
            <w:r>
              <w:rPr>
                <w:rFonts w:hint="eastAsia"/>
                <w:u w:val="single"/>
              </w:rPr>
              <w:t>卧带式磨光机</w:t>
            </w:r>
            <w:r>
              <w:rPr>
                <w:rFonts w:hint="eastAsia"/>
                <w:u w:val="single"/>
                <w:lang w:eastAsia="zh-CN"/>
              </w:rPr>
              <w:t>、</w:t>
            </w:r>
            <w:r>
              <w:rPr>
                <w:rFonts w:hint="eastAsia"/>
                <w:u w:val="single"/>
              </w:rPr>
              <w:t>细木工带锯机</w:t>
            </w:r>
            <w:r>
              <w:rPr>
                <w:rFonts w:hint="eastAsia"/>
                <w:u w:val="single"/>
                <w:lang w:eastAsia="zh-CN"/>
              </w:rPr>
              <w:t>、</w:t>
            </w:r>
            <w:r>
              <w:rPr>
                <w:rFonts w:hint="eastAsia"/>
                <w:u w:val="single"/>
              </w:rPr>
              <w:t>推槽机</w:t>
            </w:r>
          </w:p>
          <w:p>
            <w:pPr>
              <w:shd w:val="clear" w:color="auto" w:fill="C7DAF1" w:themeFill="text2" w:themeFillTint="32"/>
            </w:pPr>
            <w:r>
              <w:rPr>
                <w:rFonts w:hint="eastAsia"/>
              </w:rPr>
              <w:t>特种设备：</w:t>
            </w:r>
            <w:r>
              <w:rPr>
                <w:rFonts w:hint="eastAsia" w:ascii="Wingdings" w:hAnsi="Wingdings"/>
                <w:lang w:eastAsia="zh-CN"/>
              </w:rPr>
              <w:sym w:font="Wingdings 2" w:char="00A3"/>
            </w:r>
            <w:r>
              <w:rPr>
                <w:rFonts w:hint="eastAsia"/>
              </w:rPr>
              <w:t>叉车</w:t>
            </w:r>
            <w:r>
              <w:rPr>
                <w:rFonts w:hint="eastAsia" w:ascii="Wingdings" w:hAnsi="Wingdings"/>
                <w:lang w:eastAsia="zh-CN"/>
              </w:rPr>
              <w:sym w:font="Wingdings 2" w:char="00A3"/>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sym w:font="Wingdings 2" w:char="0052"/>
            </w:r>
            <w:r>
              <w:rPr>
                <w:rFonts w:hint="eastAsia"/>
              </w:rPr>
              <w:t>不适用</w:t>
            </w:r>
          </w:p>
          <w:p>
            <w:pPr>
              <w:shd w:val="clear" w:color="auto" w:fill="C7DAF1" w:themeFill="text2" w:themeFillTint="32"/>
              <w:rPr>
                <w:rFonts w:hint="default" w:eastAsia="宋体"/>
                <w:u w:val="single"/>
                <w:lang w:val="en-US" w:eastAsia="zh-CN"/>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sym w:font="Wingdings 2" w:char="00A3"/>
            </w:r>
            <w:r>
              <w:rPr>
                <w:rFonts w:hint="eastAsia"/>
              </w:rPr>
              <w:t>未进行定期检验的有：</w:t>
            </w:r>
            <w:r>
              <w:rPr>
                <w:rFonts w:hint="eastAsia"/>
                <w:lang w:val="en-US" w:eastAsia="zh-CN"/>
              </w:rPr>
              <w:t>叉车和行车</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sym w:font="Wingdings 2" w:char="0052"/>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pPr>
              <w:shd w:val="clear" w:color="auto" w:fill="C7DAF1" w:themeFill="text2" w:themeFillTint="32"/>
              <w:rPr>
                <w:u w:val="single"/>
              </w:rPr>
            </w:pPr>
            <w:r>
              <w:rPr>
                <w:rFonts w:hint="eastAsia"/>
              </w:rPr>
              <w:t>国家强检的计量器具有：</w:t>
            </w:r>
            <w:bookmarkStart w:id="33" w:name="_GoBack"/>
            <w:r>
              <w:rPr>
                <w:rFonts w:hint="eastAsia"/>
                <w:u w:val="single"/>
                <w:lang w:val="en-US" w:eastAsia="zh-CN"/>
              </w:rPr>
              <w:t>水分检测仪</w:t>
            </w:r>
            <w:r>
              <w:rPr>
                <w:rFonts w:hint="eastAsia"/>
                <w:u w:val="single"/>
              </w:rPr>
              <w:t>、钢卷尺</w:t>
            </w:r>
            <w:bookmarkEnd w:id="33"/>
          </w:p>
          <w:p>
            <w:pPr>
              <w:shd w:val="clear" w:color="auto" w:fill="C7DAF1" w:themeFill="text2" w:themeFillTint="32"/>
              <w:rPr>
                <w:u w:val="single"/>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pPr>
            <w:r>
              <w:t>组织</w:t>
            </w:r>
            <w:r>
              <w:rPr>
                <w:rFonts w:hint="eastAsia"/>
              </w:rPr>
              <w:t>已</w:t>
            </w:r>
            <w:r>
              <w:t>确定所需的知识，以运行过程并获得合格产品和服务</w:t>
            </w:r>
          </w:p>
          <w:p>
            <w:pPr>
              <w:shd w:val="clear" w:color="auto" w:fill="C7DAF1"/>
            </w:pPr>
            <w:r>
              <w:rPr>
                <w:rFonts w:hint="eastAsia"/>
              </w:rPr>
              <w:t xml:space="preserve">内部知识: </w:t>
            </w:r>
            <w:r>
              <w:rPr>
                <w:rFonts w:hint="eastAsia" w:ascii="Wingdings" w:hAnsi="Wingdings"/>
                <w:lang w:eastAsia="zh-CN"/>
              </w:rPr>
              <w:sym w:font="Wingdings 2" w:char="0052"/>
            </w:r>
            <w:r>
              <w:rPr>
                <w:rFonts w:hint="eastAsia"/>
              </w:rPr>
              <w:t>加工工艺</w:t>
            </w:r>
            <w:r>
              <w:rPr>
                <w:rFonts w:hint="eastAsia" w:ascii="Wingdings" w:hAnsi="Wingdings"/>
                <w:lang w:eastAsia="zh-CN"/>
              </w:rPr>
              <w:sym w:font="Wingdings 2" w:char="0052"/>
            </w:r>
            <w:r>
              <w:rPr>
                <w:rFonts w:hint="eastAsia"/>
              </w:rPr>
              <w:t>生产经验</w:t>
            </w:r>
            <w:r>
              <w:rPr>
                <w:rFonts w:hint="eastAsia" w:ascii="Wingdings" w:hAnsi="Wingdings"/>
                <w:lang w:eastAsia="zh-CN"/>
              </w:rPr>
              <w:sym w:font="Wingdings 2" w:char="0052"/>
            </w:r>
            <w:r>
              <w:rPr>
                <w:rFonts w:hint="eastAsia"/>
              </w:rPr>
              <w:t>管理软件</w:t>
            </w:r>
            <w:r>
              <w:rPr>
                <w:rFonts w:hint="eastAsia" w:ascii="Wingdings" w:hAnsi="Wingdings"/>
                <w:lang w:eastAsia="zh-CN"/>
              </w:rPr>
              <w:sym w:font="Wingdings 2" w:char="0052"/>
            </w:r>
            <w:r>
              <w:rPr>
                <w:rFonts w:hint="eastAsia"/>
              </w:rPr>
              <w:t>市场预测</w:t>
            </w:r>
            <w:r>
              <w:rPr>
                <w:rFonts w:hint="eastAsia" w:ascii="Wingdings" w:hAnsi="Wingdings"/>
                <w:lang w:eastAsia="zh-CN"/>
              </w:rPr>
              <w:sym w:font="Wingdings 2" w:char="0052"/>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 xml:space="preserve">外部知识: </w:t>
            </w:r>
            <w:r>
              <w:rPr>
                <w:rFonts w:hint="eastAsia" w:ascii="Wingdings" w:hAnsi="Wingdings"/>
                <w:lang w:eastAsia="zh-CN"/>
              </w:rPr>
              <w:sym w:font="Wingdings 2" w:char="0052"/>
            </w:r>
            <w:r>
              <w:rPr>
                <w:rFonts w:hint="eastAsia"/>
              </w:rPr>
              <w:t>顾客提供资料</w:t>
            </w:r>
            <w:r>
              <w:rPr>
                <w:rFonts w:hint="eastAsia" w:ascii="Wingdings" w:hAnsi="Wingdings"/>
                <w:lang w:eastAsia="zh-CN"/>
              </w:rPr>
              <w:sym w:font="Wingdings 2" w:char="0052"/>
            </w:r>
            <w:r>
              <w:rPr>
                <w:rFonts w:hint="eastAsia"/>
              </w:rPr>
              <w:t>产品标准</w:t>
            </w:r>
            <w:r>
              <w:rPr>
                <w:rFonts w:hint="eastAsia" w:ascii="Wingdings" w:hAnsi="Wingdings"/>
                <w:lang w:eastAsia="zh-CN"/>
              </w:rPr>
              <w:sym w:font="Wingdings 2" w:char="0052"/>
            </w:r>
            <w:r>
              <w:rPr>
                <w:rFonts w:hint="eastAsia"/>
              </w:rPr>
              <w:t>学术交流信息</w:t>
            </w:r>
            <w:r>
              <w:rPr>
                <w:rFonts w:hint="eastAsia" w:ascii="Wingdings" w:hAnsi="Wingdings"/>
                <w:lang w:eastAsia="zh-CN"/>
              </w:rPr>
              <w:sym w:font="Wingdings 2" w:char="0052"/>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pPr>
            <w:r>
              <w:rPr>
                <w:rFonts w:hint="eastAsia"/>
              </w:rPr>
              <w:t>组织已确定在其控制的工作人员所需具备的能力，并采取措施以获得所需的能力，并评价措施的有效性；</w:t>
            </w:r>
          </w:p>
          <w:p>
            <w:pPr>
              <w:shd w:val="clear" w:color="auto" w:fill="C7DAF1"/>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t>□</w:t>
            </w:r>
            <w:r>
              <w:rPr>
                <w:rFonts w:hint="eastAsia"/>
              </w:rPr>
              <w:t>其他</w:t>
            </w:r>
          </w:p>
          <w:p>
            <w:pPr>
              <w:shd w:val="clear" w:color="auto" w:fill="C7DAF1"/>
            </w:pPr>
            <w:r>
              <w:rPr>
                <w:rFonts w:hint="eastAsia"/>
              </w:rPr>
              <w:t>对国家规定持证上岗的人员资质进行了有效的管理。</w:t>
            </w:r>
          </w:p>
          <w:p>
            <w:pPr>
              <w:shd w:val="clear" w:color="auto" w:fill="C7DAF1"/>
            </w:pPr>
            <w:r>
              <w:rPr>
                <w:rFonts w:hint="eastAsia"/>
              </w:rPr>
              <w:t>特种作业人员：</w:t>
            </w:r>
            <w:r>
              <w:rPr>
                <w:rFonts w:hint="eastAsia" w:ascii="Wingdings" w:hAnsi="Wingdings"/>
                <w:lang w:eastAsia="zh-CN"/>
              </w:rPr>
              <w:sym w:font="Wingdings 2" w:char="00A3"/>
            </w:r>
            <w:r>
              <w:rPr>
                <w:rFonts w:hint="eastAsia"/>
              </w:rPr>
              <w:t>电工</w:t>
            </w:r>
            <w:r>
              <w:rPr>
                <w:rFonts w:hint="eastAsia" w:ascii="Wingdings" w:hAnsi="Wingdings"/>
                <w:lang w:eastAsia="zh-CN"/>
              </w:rPr>
              <w:sym w:font="Wingdings 2" w:char="00A3"/>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特种设备作业人员：</w:t>
            </w:r>
            <w:r>
              <w:rPr>
                <w:rFonts w:hint="eastAsia" w:ascii="Wingdings" w:hAnsi="Wingdings"/>
                <w:lang w:eastAsia="zh-CN"/>
              </w:rPr>
              <w:sym w:font="Wingdings 2" w:char="00A3"/>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rPr>
                <w:rFonts w:ascii="Times New Roman" w:hAnsi="Times New Roman" w:eastAsia="宋体" w:cs="Times New Roman"/>
                <w:kern w:val="2"/>
                <w:sz w:val="21"/>
                <w:szCs w:val="24"/>
                <w:lang w:val="en-US" w:eastAsia="zh-CN" w:bidi="ar-SA"/>
              </w:rPr>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看板</w:t>
            </w:r>
            <w:r>
              <w:rPr>
                <w:rFonts w:hint="eastAsia" w:ascii="Wingdings" w:hAnsi="Wingdings"/>
                <w:lang w:eastAsia="zh-CN"/>
              </w:rPr>
              <w:sym w:font="Wingdings 2" w:char="0052"/>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pPr>
            <w:r>
              <w:rPr>
                <w:rFonts w:hint="eastAsia"/>
              </w:rPr>
              <w:t>组织已确定与质量管理体系相关的内部和外部沟通。</w:t>
            </w:r>
          </w:p>
          <w:p>
            <w:pPr>
              <w:shd w:val="clear" w:color="auto" w:fill="C7DAF1"/>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pPr>
              <w:shd w:val="clear" w:color="auto" w:fill="C7DAF1"/>
              <w:rPr>
                <w:rFonts w:ascii="Times New Roman" w:hAnsi="Times New Roman" w:eastAsia="宋体" w:cs="Times New Roman"/>
                <w:kern w:val="2"/>
                <w:sz w:val="21"/>
                <w:szCs w:val="24"/>
                <w:lang w:val="en-US" w:eastAsia="zh-CN" w:bidi="ar-SA"/>
              </w:rPr>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rPr>
                <w:u w:val="single"/>
              </w:rPr>
            </w:pPr>
            <w:r>
              <w:rPr>
                <w:rFonts w:hint="eastAsia"/>
              </w:rPr>
              <w:t>组织已建立了文件化的质量管理体系。对自编文件的编制、审批、发放、变更和作废进行了控制。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pPr>
            <w:r>
              <w:rPr>
                <w:rFonts w:hint="eastAsia"/>
              </w:rPr>
              <w:t>对质量相关的外来文件（法律法规、产品标准）进行了识别和贯彻。</w:t>
            </w:r>
          </w:p>
          <w:p>
            <w:pPr>
              <w:shd w:val="clear" w:color="auto" w:fill="C7DAF1"/>
            </w:pPr>
            <w:r>
              <w:rPr>
                <w:rFonts w:hint="eastAsia"/>
              </w:rPr>
              <w:sym w:font="Wingdings 2" w:char="0052"/>
            </w:r>
            <w:r>
              <w:rPr>
                <w:rFonts w:hint="eastAsia"/>
              </w:rPr>
              <w:t>法律法规获取充分，□法律法规获取有遗漏，缺少：</w:t>
            </w:r>
          </w:p>
          <w:p>
            <w:pPr>
              <w:shd w:val="clear" w:color="auto" w:fill="C7DAF1"/>
            </w:pPr>
          </w:p>
          <w:p>
            <w:pPr>
              <w:shd w:val="clear" w:color="auto" w:fill="C7DAF1"/>
            </w:pPr>
            <w:r>
              <w:rPr>
                <w:rFonts w:hint="eastAsia"/>
              </w:rPr>
              <w:t>对QMS和产品相关的运行记录进行了保留、储存、保护、检索查询、处置等管理。</w:t>
            </w:r>
          </w:p>
          <w:p>
            <w:pPr>
              <w:shd w:val="clear" w:color="auto" w:fill="C7DAF1"/>
              <w:rPr>
                <w:rFonts w:ascii="Times New Roman" w:hAnsi="Times New Roman" w:eastAsia="宋体" w:cs="Times New Roman"/>
                <w:kern w:val="2"/>
                <w:sz w:val="21"/>
                <w:szCs w:val="24"/>
                <w:lang w:val="en-US" w:eastAsia="zh-CN" w:bidi="ar-SA"/>
              </w:rPr>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vAlign w:val="top"/>
          </w:tcPr>
          <w:p>
            <w:pPr>
              <w:shd w:val="clear" w:color="auto" w:fill="C7DAF1"/>
            </w:pPr>
            <w:r>
              <w:rPr>
                <w:rFonts w:hint="eastAsia"/>
              </w:rPr>
              <w:t>组织为对产品和服务提供满足的要求，已对产品和服务提供的过程（见4.4）进行策划、实施和控制。策划文件包括：</w:t>
            </w:r>
          </w:p>
          <w:p>
            <w:pPr>
              <w:shd w:val="clear" w:color="auto" w:fill="C7DAF1"/>
              <w:rPr>
                <w:rFonts w:ascii="Times New Roman" w:hAnsi="Times New Roman" w:eastAsia="宋体" w:cs="Times New Roman"/>
                <w:kern w:val="2"/>
                <w:sz w:val="21"/>
                <w:szCs w:val="24"/>
                <w:highlight w:val="yellow"/>
                <w:lang w:val="en-US" w:eastAsia="zh-CN" w:bidi="ar-SA"/>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sym w:font="Wingdings 2" w:char="0052"/>
            </w:r>
            <w:r>
              <w:rPr>
                <w:rFonts w:hint="eastAsia"/>
              </w:rPr>
              <w:t>检测计划</w:t>
            </w:r>
            <w:r>
              <w:rPr>
                <w:rFonts w:hint="eastAsia" w:ascii="Wingdings" w:hAnsi="Wingdings"/>
                <w:lang w:eastAsia="zh-CN"/>
              </w:rPr>
              <w:sym w:font="Wingdings 2" w:char="0052"/>
            </w:r>
            <w:r>
              <w:rPr>
                <w:rFonts w:hint="eastAsia"/>
              </w:rPr>
              <w:t>接收准则</w:t>
            </w:r>
            <w:r>
              <w:rPr>
                <w:rFonts w:hint="eastAsia" w:ascii="Wingdings" w:hAnsi="Wingdings"/>
                <w:lang w:eastAsia="zh-CN"/>
              </w:rPr>
              <w:sym w:font="Wingdings 2" w:char="0052"/>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pPr>
            <w:r>
              <w:rPr>
                <w:rFonts w:hint="eastAsia"/>
              </w:rPr>
              <w:t>组织建立并实施了与顾客沟通；如产品和服务的信息、顾客投诉、顾客财产、应急措施等。</w:t>
            </w:r>
          </w:p>
          <w:p>
            <w:pPr>
              <w:shd w:val="clear" w:color="auto" w:fill="C7DAF1"/>
            </w:pPr>
            <w:r>
              <w:rPr>
                <w:rFonts w:hint="eastAsia"/>
              </w:rPr>
              <w:t>组织对产品和服务要求进行了评审，确保有能力向顾客提供满足要求的产品和服务。</w:t>
            </w:r>
          </w:p>
          <w:p>
            <w:pPr>
              <w:shd w:val="clear" w:color="auto" w:fill="C7DAF1"/>
            </w:pPr>
            <w:r>
              <w:rPr>
                <w:rFonts w:hint="eastAsia"/>
              </w:rPr>
              <w:t>产品和服务要求为：</w:t>
            </w:r>
            <w:r>
              <w:rPr>
                <w:rFonts w:hint="eastAsia" w:ascii="Wingdings" w:hAnsi="Wingdings"/>
                <w:lang w:eastAsia="zh-CN"/>
              </w:rPr>
              <w:sym w:font="Wingdings 2" w:char="0052"/>
            </w:r>
            <w:r>
              <w:rPr>
                <w:rFonts w:hint="eastAsia"/>
              </w:rPr>
              <w:t>外来标准</w:t>
            </w:r>
            <w:r>
              <w:rPr>
                <w:rFonts w:hint="eastAsia" w:ascii="Wingdings" w:hAnsi="Wingdings"/>
                <w:lang w:eastAsia="zh-CN"/>
              </w:rPr>
              <w:sym w:font="Wingdings 2" w:char="0052"/>
            </w:r>
            <w:r>
              <w:rPr>
                <w:rFonts w:hint="eastAsia"/>
              </w:rPr>
              <w:t>企业标准</w:t>
            </w:r>
            <w:r>
              <w:rPr>
                <w:rFonts w:hint="eastAsia" w:ascii="Wingdings" w:hAnsi="Wingdings"/>
                <w:lang w:eastAsia="zh-CN"/>
              </w:rPr>
              <w:sym w:font="Wingdings 2" w:char="0052"/>
            </w:r>
            <w:r>
              <w:rPr>
                <w:rFonts w:hint="eastAsia"/>
              </w:rPr>
              <w:t>顾客要求</w:t>
            </w:r>
            <w:r>
              <w:rPr>
                <w:rFonts w:hint="eastAsia" w:ascii="Wingdings" w:hAnsi="Wingdings"/>
                <w:lang w:eastAsia="zh-CN"/>
              </w:rPr>
              <w:t>□</w:t>
            </w:r>
            <w:r>
              <w:rPr>
                <w:rFonts w:hint="eastAsia"/>
              </w:rPr>
              <w:t>其他</w:t>
            </w:r>
          </w:p>
          <w:p>
            <w:pPr>
              <w:shd w:val="clear" w:color="auto" w:fill="C7DAF1"/>
              <w:rPr>
                <w:rFonts w:ascii="Times New Roman" w:hAnsi="Times New Roman" w:eastAsia="宋体" w:cs="Times New Roman"/>
                <w:kern w:val="2"/>
                <w:sz w:val="21"/>
                <w:szCs w:val="24"/>
                <w:lang w:val="en-US" w:eastAsia="zh-CN" w:bidi="ar-SA"/>
              </w:rPr>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pPr>
            <w:r>
              <w:rPr>
                <w:rFonts w:hint="eastAsia"/>
              </w:rPr>
              <w:t>组织建立、实施和保持了适当的设计和开发过程，以确保后续的产品和服务的提供。（适用时）</w:t>
            </w:r>
          </w:p>
          <w:p>
            <w:pPr>
              <w:shd w:val="clear" w:color="auto" w:fill="C7DAF1"/>
            </w:pPr>
            <w:r>
              <w:rPr>
                <w:rFonts w:hint="eastAsia"/>
              </w:rPr>
              <w:t>审核期间内设计和开发新产品/项目名称：</w:t>
            </w:r>
            <w:r>
              <w:rPr>
                <w:rFonts w:hint="eastAsia"/>
                <w:u w:val="single"/>
              </w:rPr>
              <w:t>（</w:t>
            </w:r>
            <w:r>
              <w:rPr>
                <w:rFonts w:hint="eastAsia"/>
              </w:rPr>
              <w:t>举1例）</w:t>
            </w:r>
          </w:p>
          <w:p>
            <w:pPr>
              <w:shd w:val="clear" w:color="auto" w:fill="C7DAF1"/>
            </w:pPr>
            <w:r>
              <w:rPr>
                <w:rFonts w:hint="eastAsia"/>
              </w:rPr>
              <w:t>该项目的设计和开发的输入、输出、变更进行了控制。</w:t>
            </w:r>
          </w:p>
          <w:p>
            <w:pPr>
              <w:shd w:val="clear" w:color="auto" w:fill="C7DAF1"/>
              <w:rPr>
                <w:rFonts w:ascii="Times New Roman" w:hAnsi="Times New Roman" w:eastAsia="宋体" w:cs="Times New Roman"/>
                <w:kern w:val="2"/>
                <w:sz w:val="21"/>
                <w:szCs w:val="24"/>
                <w:lang w:val="en-US" w:eastAsia="zh-CN" w:bidi="ar-SA"/>
              </w:rPr>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jc w:val="left"/>
            </w:pPr>
            <w:r>
              <w:rPr>
                <w:rFonts w:hint="eastAsia"/>
              </w:rPr>
              <w:t>组织对外部提供的过程、产品和服务的供方按照对产品/服务质量的类型和程度实施控制。</w:t>
            </w:r>
          </w:p>
          <w:p>
            <w:pPr>
              <w:shd w:val="clear" w:color="auto" w:fill="C7DAF1"/>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jc w:val="left"/>
              <w:rPr>
                <w:rFonts w:ascii="Times New Roman" w:hAnsi="Times New Roman" w:eastAsia="宋体" w:cs="Times New Roman"/>
                <w:kern w:val="2"/>
                <w:sz w:val="21"/>
                <w:szCs w:val="24"/>
                <w:lang w:val="en-US" w:eastAsia="zh-CN" w:bidi="ar-SA"/>
              </w:rPr>
            </w:pPr>
            <w:r>
              <w:rPr>
                <w:rFonts w:hint="eastAsia"/>
              </w:rPr>
              <w:t>提供给外部供方的信息</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5"/>
              <w:gridCol w:w="3092"/>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5" w:type="dxa"/>
                </w:tcPr>
                <w:p>
                  <w:pPr>
                    <w:shd w:val="clear" w:color="auto" w:fill="C7DAF1" w:themeFill="text2" w:themeFillTint="32"/>
                    <w:jc w:val="left"/>
                  </w:pPr>
                  <w:r>
                    <w:rPr>
                      <w:rFonts w:hint="eastAsia"/>
                    </w:rPr>
                    <w:t>产品/服务名称</w:t>
                  </w:r>
                </w:p>
              </w:tc>
              <w:tc>
                <w:tcPr>
                  <w:tcW w:w="3092"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5" w:type="dxa"/>
                  <w:vAlign w:val="top"/>
                </w:tcPr>
                <w:p>
                  <w:pPr>
                    <w:shd w:val="clear" w:color="auto" w:fill="C7DAF1" w:themeFill="text2"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木箱的加工</w:t>
                  </w:r>
                </w:p>
              </w:tc>
              <w:tc>
                <w:tcPr>
                  <w:tcW w:w="3092" w:type="dxa"/>
                  <w:vAlign w:val="top"/>
                </w:tcPr>
                <w:p>
                  <w:pPr>
                    <w:rPr>
                      <w:rFonts w:ascii="Times New Roman" w:hAnsi="Times New Roman" w:eastAsia="宋体" w:cs="Times New Roman"/>
                      <w:kern w:val="2"/>
                      <w:sz w:val="21"/>
                      <w:szCs w:val="24"/>
                      <w:u w:val="none"/>
                      <w:lang w:val="en-US" w:eastAsia="zh-CN" w:bidi="ar-SA"/>
                    </w:rPr>
                  </w:pPr>
                  <w:r>
                    <w:rPr>
                      <w:rFonts w:hint="eastAsia"/>
                      <w:color w:val="000000"/>
                      <w:u w:val="none"/>
                    </w:rPr>
                    <w:t>烘干</w:t>
                  </w:r>
                </w:p>
              </w:tc>
              <w:tc>
                <w:tcPr>
                  <w:tcW w:w="3265" w:type="dxa"/>
                  <w:vAlign w:val="top"/>
                </w:tcPr>
                <w:p>
                  <w:pPr>
                    <w:shd w:val="clear" w:color="auto" w:fill="C7DAF1" w:themeFill="text2" w:themeFillTint="32"/>
                    <w:jc w:val="left"/>
                    <w:rPr>
                      <w:rFonts w:ascii="Times New Roman" w:hAnsi="Times New Roman" w:eastAsia="宋体" w:cs="Times New Roman"/>
                      <w:kern w:val="2"/>
                      <w:sz w:val="21"/>
                      <w:szCs w:val="24"/>
                      <w:u w:val="none"/>
                      <w:lang w:val="en-US" w:eastAsia="zh-CN" w:bidi="ar-SA"/>
                    </w:rPr>
                  </w:pPr>
                  <w:r>
                    <w:rPr>
                      <w:rFonts w:hint="eastAsia"/>
                      <w:color w:val="000000"/>
                      <w:u w:val="none"/>
                    </w:rPr>
                    <w:t>烘干温度</w:t>
                  </w:r>
                </w:p>
              </w:tc>
            </w:tr>
          </w:tbl>
          <w:p>
            <w:pPr>
              <w:shd w:val="clear" w:color="auto" w:fill="C7DAF1" w:themeFill="text2" w:themeFillTint="32"/>
              <w:jc w:val="left"/>
            </w:pPr>
            <w:r>
              <w:rPr>
                <w:rFonts w:hint="eastAsia"/>
              </w:rPr>
              <w:t>需要确认的过程：</w:t>
            </w:r>
            <w:r>
              <w:rPr>
                <w:rFonts w:hint="eastAsia"/>
                <w:color w:val="000000"/>
                <w:u w:val="none"/>
              </w:rPr>
              <w:t>烘干</w:t>
            </w:r>
            <w:r>
              <w:rPr>
                <w:rFonts w:hint="eastAsia"/>
              </w:rPr>
              <w:t>，</w:t>
            </w:r>
          </w:p>
          <w:p>
            <w:pPr>
              <w:shd w:val="clear" w:color="auto" w:fill="C7DAF1" w:themeFill="text2" w:themeFillTint="32"/>
              <w:jc w:val="left"/>
            </w:pPr>
            <w:r>
              <w:rPr>
                <w:rFonts w:hint="eastAsia" w:ascii="Wingdings" w:hAnsi="Wingdings"/>
                <w:lang w:eastAsia="zh-CN"/>
              </w:rPr>
              <w:sym w:font="Wingdings 2" w:char="0052"/>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jc w:val="left"/>
            </w:pPr>
            <w:r>
              <w:rPr>
                <w:rFonts w:hint="eastAsia"/>
              </w:rPr>
              <w:t>组织在生产和服务提供的整个过程中对产品和监视和测量状态进行标识和追溯。</w:t>
            </w:r>
          </w:p>
          <w:p>
            <w:pPr>
              <w:shd w:val="clear" w:color="auto" w:fill="C7DAF1"/>
              <w:jc w:val="left"/>
            </w:pPr>
            <w:r>
              <w:rPr>
                <w:rFonts w:hint="eastAsia"/>
              </w:rPr>
              <w:t>采用的标识方式：</w:t>
            </w:r>
            <w:r>
              <w:rPr>
                <w:rFonts w:hint="eastAsia" w:ascii="Wingdings" w:hAnsi="Wingdings"/>
                <w:lang w:eastAsia="zh-CN"/>
              </w:rPr>
              <w:sym w:font="Wingdings 2" w:char="0052"/>
            </w:r>
            <w:r>
              <w:rPr>
                <w:rFonts w:hint="eastAsia"/>
              </w:rPr>
              <w:t>标签</w:t>
            </w:r>
            <w:r>
              <w:rPr>
                <w:rFonts w:hint="eastAsia" w:ascii="Wingdings" w:hAnsi="Wingdings"/>
                <w:lang w:eastAsia="zh-CN"/>
              </w:rPr>
              <w:sym w:font="Wingdings 2" w:char="0052"/>
            </w:r>
            <w:r>
              <w:rPr>
                <w:rFonts w:hint="eastAsia"/>
              </w:rPr>
              <w:t>标牌</w:t>
            </w:r>
            <w:r>
              <w:rPr>
                <w:rFonts w:hint="eastAsia" w:ascii="Wingdings" w:hAnsi="Wingdings"/>
                <w:lang w:eastAsia="zh-CN"/>
              </w:rPr>
              <w:sym w:font="Wingdings 2" w:char="0052"/>
            </w:r>
            <w:r>
              <w:rPr>
                <w:rFonts w:hint="eastAsia"/>
              </w:rPr>
              <w:t>区域</w:t>
            </w:r>
            <w:r>
              <w:rPr>
                <w:rFonts w:hint="eastAsia" w:ascii="Wingdings" w:hAnsi="Wingdings"/>
                <w:lang w:eastAsia="zh-CN"/>
              </w:rPr>
              <w:sym w:font="Wingdings 2" w:char="00A3"/>
            </w:r>
            <w:r>
              <w:rPr>
                <w:rFonts w:hint="eastAsia"/>
              </w:rPr>
              <w:t>容器编号</w:t>
            </w:r>
            <w:r>
              <w:rPr>
                <w:rFonts w:hint="eastAsia" w:ascii="Wingdings" w:hAnsi="Wingdings"/>
                <w:lang w:eastAsia="zh-CN"/>
              </w:rPr>
              <w:sym w:font="Wingdings 2" w:char="00A3"/>
            </w:r>
            <w:r>
              <w:rPr>
                <w:rFonts w:hint="eastAsia"/>
              </w:rPr>
              <w:t>人员编号</w:t>
            </w:r>
            <w:r>
              <w:rPr>
                <w:rFonts w:hint="eastAsia" w:ascii="Wingdings" w:hAnsi="Wingdings"/>
                <w:lang w:eastAsia="zh-CN"/>
              </w:rPr>
              <w:t>□</w:t>
            </w:r>
            <w:r>
              <w:rPr>
                <w:rFonts w:hint="eastAsia"/>
              </w:rPr>
              <w:t>其他</w:t>
            </w:r>
          </w:p>
          <w:p>
            <w:pPr>
              <w:shd w:val="clear" w:color="auto" w:fill="C7DAF1"/>
              <w:jc w:val="left"/>
              <w:rPr>
                <w:rFonts w:ascii="Times New Roman" w:hAnsi="Times New Roman" w:eastAsia="宋体" w:cs="Times New Roman"/>
                <w:kern w:val="2"/>
                <w:sz w:val="21"/>
                <w:szCs w:val="24"/>
                <w:lang w:val="en-US" w:eastAsia="zh-CN" w:bidi="ar-SA"/>
              </w:rPr>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pPr>
            <w:r>
              <w:rPr>
                <w:rFonts w:hint="eastAsia"/>
              </w:rPr>
              <w:t>组织爱护在组织控制下或使用顾客或外部供方的财产。</w:t>
            </w:r>
          </w:p>
          <w:p>
            <w:pPr>
              <w:shd w:val="clear" w:color="auto" w:fill="C7DAF1"/>
            </w:pPr>
            <w:r>
              <w:rPr>
                <w:rFonts w:hint="eastAsia"/>
              </w:rPr>
              <w:t>目前的顾客或外部供方财产包括：</w:t>
            </w:r>
          </w:p>
          <w:p>
            <w:pPr>
              <w:shd w:val="clear" w:color="auto" w:fill="C7DAF1"/>
            </w:pPr>
            <w:r>
              <w:rPr>
                <w:rFonts w:hint="eastAsia" w:ascii="Wingdings" w:hAnsi="Wingdings"/>
                <w:lang w:eastAsia="zh-CN"/>
              </w:rPr>
              <w:sym w:font="Wingdings 2" w:char="00A3"/>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sym w:font="Wingdings 2" w:char="0052"/>
            </w:r>
            <w:r>
              <w:rPr>
                <w:rFonts w:hint="eastAsia"/>
              </w:rPr>
              <w:t>图纸</w:t>
            </w:r>
            <w:r>
              <w:rPr>
                <w:rFonts w:hint="eastAsia" w:ascii="Wingdings" w:hAnsi="Wingdings"/>
                <w:lang w:eastAsia="zh-CN"/>
              </w:rPr>
              <w:sym w:font="Wingdings 2" w:char="00A3"/>
            </w:r>
            <w:r>
              <w:rPr>
                <w:rFonts w:hint="eastAsia"/>
              </w:rPr>
              <w:t>配方</w:t>
            </w:r>
            <w:r>
              <w:rPr>
                <w:rFonts w:hint="eastAsia" w:ascii="Wingdings" w:hAnsi="Wingdings"/>
                <w:lang w:eastAsia="zh-CN"/>
              </w:rPr>
              <w:sym w:font="Wingdings 2" w:char="0052"/>
            </w:r>
            <w:r>
              <w:rPr>
                <w:rFonts w:hint="eastAsia"/>
              </w:rPr>
              <w:t>个人信息</w:t>
            </w:r>
            <w:r>
              <w:rPr>
                <w:rFonts w:hint="eastAsia" w:ascii="Wingdings" w:hAnsi="Wingdings"/>
                <w:lang w:eastAsia="zh-CN"/>
              </w:rPr>
              <w:t>□</w:t>
            </w:r>
            <w:r>
              <w:rPr>
                <w:rFonts w:hint="eastAsia"/>
              </w:rPr>
              <w:t>其他</w:t>
            </w:r>
          </w:p>
          <w:p>
            <w:pPr>
              <w:shd w:val="clear" w:color="auto" w:fill="C7DAF1"/>
              <w:jc w:val="left"/>
              <w:rPr>
                <w:rFonts w:ascii="Times New Roman" w:hAnsi="Times New Roman" w:eastAsia="宋体" w:cs="Times New Roman"/>
                <w:kern w:val="2"/>
                <w:sz w:val="21"/>
                <w:szCs w:val="24"/>
                <w:lang w:val="en-US" w:eastAsia="zh-CN" w:bidi="ar-SA"/>
              </w:rPr>
            </w:pPr>
            <w:r>
              <w:rPr>
                <w:rFonts w:hint="eastAsia"/>
              </w:rPr>
              <w:t>顾客或外部供方财产控制：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pPr>
            <w:r>
              <w:rPr>
                <w:rFonts w:hint="eastAsia"/>
              </w:rPr>
              <w:t>组织应在生产和服务提供期间对输出进行必要防护，以确保符合要求。</w:t>
            </w:r>
          </w:p>
          <w:p>
            <w:pPr>
              <w:shd w:val="clear" w:color="auto" w:fill="C7DAF1"/>
            </w:pPr>
            <w:r>
              <w:rPr>
                <w:rFonts w:hint="eastAsia"/>
              </w:rPr>
              <w:t>可包括标识、处置、污染控制、包装、储存、传输或运输以及保护。</w:t>
            </w:r>
          </w:p>
          <w:p>
            <w:pPr>
              <w:shd w:val="clear" w:color="auto" w:fill="C7DAF1"/>
              <w:jc w:val="left"/>
              <w:rPr>
                <w:rFonts w:ascii="Times New Roman" w:hAnsi="Times New Roman" w:eastAsia="宋体" w:cs="Times New Roman"/>
                <w:kern w:val="2"/>
                <w:sz w:val="21"/>
                <w:szCs w:val="24"/>
                <w:lang w:val="en-US" w:eastAsia="zh-CN" w:bidi="ar-SA"/>
              </w:rPr>
            </w:pPr>
            <w:r>
              <w:rPr>
                <w:rFonts w:hint="eastAsia"/>
              </w:rPr>
              <w:t>产品防护：</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pPr>
            <w:r>
              <w:rPr>
                <w:rFonts w:hint="eastAsia"/>
              </w:rPr>
              <w:t>组织应满足与产品和服务相关的交付后活动的要求。</w:t>
            </w:r>
          </w:p>
          <w:p>
            <w:pPr>
              <w:shd w:val="clear" w:color="auto" w:fill="C7DAF1"/>
            </w:pPr>
            <w:r>
              <w:rPr>
                <w:rFonts w:hint="eastAsia"/>
              </w:rPr>
              <w:t>目前交付后活动：</w:t>
            </w:r>
            <w:r>
              <w:rPr>
                <w:rFonts w:hint="eastAsia" w:ascii="Wingdings" w:hAnsi="Wingdings"/>
                <w:lang w:eastAsia="zh-CN"/>
              </w:rPr>
              <w:sym w:font="Wingdings 2" w:char="0052"/>
            </w:r>
            <w:r>
              <w:rPr>
                <w:rFonts w:hint="eastAsia"/>
              </w:rPr>
              <w:t>三包</w:t>
            </w:r>
            <w:r>
              <w:rPr>
                <w:rFonts w:hint="eastAsia" w:ascii="Wingdings" w:hAnsi="Wingdings"/>
                <w:lang w:eastAsia="zh-CN"/>
              </w:rPr>
              <w:sym w:font="Wingdings 2" w:char="00A3"/>
            </w:r>
            <w:r>
              <w:rPr>
                <w:rFonts w:hint="eastAsia"/>
              </w:rPr>
              <w:t>维修</w:t>
            </w:r>
            <w:r>
              <w:rPr>
                <w:rFonts w:hint="eastAsia" w:ascii="Wingdings" w:hAnsi="Wingdings"/>
                <w:lang w:eastAsia="zh-CN"/>
              </w:rPr>
              <w:sym w:font="Wingdings 2" w:char="0052"/>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rPr>
                <w:rFonts w:ascii="Times New Roman" w:hAnsi="Times New Roman" w:eastAsia="宋体" w:cs="Times New Roman"/>
                <w:kern w:val="2"/>
                <w:sz w:val="21"/>
                <w:szCs w:val="24"/>
                <w:lang w:val="en-US" w:eastAsia="zh-CN" w:bidi="ar-SA"/>
              </w:rPr>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pPr>
            <w:r>
              <w:rPr>
                <w:rFonts w:hint="eastAsia"/>
              </w:rPr>
              <w:t>组织对生产和服务提供的更改进行必要的评审和控制，以确保持续地符合要求。</w:t>
            </w:r>
          </w:p>
          <w:p>
            <w:pPr>
              <w:shd w:val="clear" w:color="auto" w:fill="C7DAF1"/>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rPr>
                <w:rFonts w:ascii="Times New Roman" w:hAnsi="Times New Roman" w:eastAsia="宋体" w:cs="Times New Roman"/>
                <w:kern w:val="2"/>
                <w:sz w:val="21"/>
                <w:szCs w:val="24"/>
                <w:lang w:val="en-US" w:eastAsia="zh-CN" w:bidi="ar-SA"/>
              </w:rPr>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pPr>
            <w:r>
              <w:rPr>
                <w:rFonts w:hint="eastAsia"/>
              </w:rPr>
              <w:t>组织在适当阶段实施策划的安排，以验证产品和服务的要求已得到满足。</w:t>
            </w:r>
          </w:p>
          <w:p>
            <w:pPr>
              <w:shd w:val="clear" w:color="auto" w:fill="C7DAF1"/>
            </w:pPr>
            <w:r>
              <w:rPr>
                <w:rFonts w:hint="eastAsia"/>
              </w:rPr>
              <w:t>实施了</w:t>
            </w:r>
            <w:r>
              <w:rPr>
                <w:rFonts w:hint="eastAsia" w:ascii="Wingdings" w:hAnsi="Wingdings"/>
                <w:lang w:eastAsia="zh-CN"/>
              </w:rPr>
              <w:sym w:font="Wingdings 2" w:char="0052"/>
            </w:r>
            <w:r>
              <w:rPr>
                <w:rFonts w:hint="eastAsia"/>
              </w:rPr>
              <w:t>进货检验</w:t>
            </w:r>
            <w:r>
              <w:rPr>
                <w:rFonts w:hint="eastAsia" w:ascii="Wingdings" w:hAnsi="Wingdings"/>
                <w:lang w:eastAsia="zh-CN"/>
              </w:rPr>
              <w:sym w:font="Wingdings 2" w:char="0052"/>
            </w:r>
            <w:r>
              <w:rPr>
                <w:rFonts w:hint="eastAsia"/>
              </w:rPr>
              <w:t>首件检验</w:t>
            </w:r>
            <w:r>
              <w:rPr>
                <w:rFonts w:hint="eastAsia" w:ascii="Wingdings" w:hAnsi="Wingdings"/>
                <w:lang w:eastAsia="zh-CN"/>
              </w:rPr>
              <w:sym w:font="Wingdings 2" w:char="0052"/>
            </w:r>
            <w:r>
              <w:rPr>
                <w:rFonts w:hint="eastAsia"/>
              </w:rPr>
              <w:t>过程检验</w:t>
            </w:r>
            <w:r>
              <w:rPr>
                <w:rFonts w:hint="eastAsia" w:ascii="Wingdings" w:hAnsi="Wingdings"/>
                <w:lang w:eastAsia="zh-CN"/>
              </w:rPr>
              <w:sym w:font="Wingdings 2" w:char="0052"/>
            </w:r>
            <w:r>
              <w:rPr>
                <w:rFonts w:hint="eastAsia"/>
              </w:rPr>
              <w:t>最终检验</w:t>
            </w:r>
            <w:r>
              <w:rPr>
                <w:rFonts w:hint="eastAsia" w:ascii="Wingdings" w:hAnsi="Wingdings"/>
                <w:lang w:eastAsia="zh-CN"/>
              </w:rPr>
              <w:sym w:font="Wingdings 2" w:char="00A3"/>
            </w:r>
            <w:r>
              <w:rPr>
                <w:rFonts w:hint="eastAsia"/>
              </w:rPr>
              <w:t>型式检验</w:t>
            </w:r>
            <w:r>
              <w:rPr>
                <w:rFonts w:hint="eastAsia" w:ascii="Wingdings" w:hAnsi="Wingdings"/>
                <w:lang w:eastAsia="zh-CN"/>
              </w:rPr>
              <w:t>□</w:t>
            </w:r>
            <w:r>
              <w:rPr>
                <w:rFonts w:hint="eastAsia"/>
              </w:rPr>
              <w:t>其他</w:t>
            </w:r>
          </w:p>
          <w:p>
            <w:pPr>
              <w:shd w:val="clear" w:color="auto" w:fill="C7DAF1"/>
            </w:pPr>
            <w:r>
              <w:rPr>
                <w:rFonts w:hint="eastAsia"/>
              </w:rPr>
              <w:t>《型式检验报告》，如：。</w:t>
            </w:r>
          </w:p>
          <w:p>
            <w:pPr>
              <w:shd w:val="clear" w:color="auto" w:fill="C7DAF1"/>
              <w:rPr>
                <w:rFonts w:ascii="Times New Roman" w:hAnsi="Times New Roman" w:eastAsia="宋体" w:cs="Times New Roman"/>
                <w:kern w:val="2"/>
                <w:sz w:val="21"/>
                <w:szCs w:val="24"/>
                <w:lang w:val="en-US" w:eastAsia="zh-CN" w:bidi="ar-SA"/>
              </w:rPr>
            </w:pPr>
            <w:r>
              <w:rPr>
                <w:rFonts w:hint="eastAsia"/>
              </w:rPr>
              <w:t>产品检验/服务放行：</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pPr>
            <w:r>
              <w:rPr>
                <w:rFonts w:hint="eastAsia"/>
              </w:rPr>
              <w:t>组织确保对不符合要求的输出进行识别和控制，以防止非预期的使用或交付。</w:t>
            </w:r>
          </w:p>
          <w:p>
            <w:pPr>
              <w:shd w:val="clear" w:color="auto" w:fill="C7DAF1"/>
              <w:rPr>
                <w:rFonts w:ascii="Times New Roman" w:hAnsi="Times New Roman" w:eastAsia="宋体" w:cs="Times New Roman"/>
                <w:kern w:val="2"/>
                <w:sz w:val="21"/>
                <w:szCs w:val="24"/>
                <w:lang w:val="en-US" w:eastAsia="zh-CN" w:bidi="ar-SA"/>
              </w:rPr>
            </w:pPr>
            <w:r>
              <w:rPr>
                <w:rFonts w:hint="eastAsia"/>
              </w:rPr>
              <w:t>不合格品控制：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sym w:font="Wingdings 2" w:char="0052"/>
            </w:r>
            <w:r>
              <w:rPr>
                <w:rFonts w:hint="eastAsia"/>
              </w:rPr>
              <w:t>顾客调查</w:t>
            </w:r>
            <w:r>
              <w:rPr>
                <w:rFonts w:hint="eastAsia" w:ascii="Wingdings" w:hAnsi="Wingdings"/>
                <w:lang w:eastAsia="zh-CN"/>
              </w:rPr>
              <w:sym w:font="Wingdings 2" w:char="0052"/>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通过年度策划于2022 年5月7日实施了质量管理体系内部审核，对质量管理体系的符合性和有效性进行了审核。内审发现的</w:t>
            </w:r>
            <w:r>
              <w:rPr>
                <w:rFonts w:hint="eastAsia"/>
                <w:lang w:val="en-US" w:eastAsia="zh-CN"/>
              </w:rPr>
              <w:t>2</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最高管理者已按策划的时间间隔，在2022</w:t>
            </w:r>
            <w:r>
              <w:rPr>
                <w:rFonts w:hint="eastAsia"/>
                <w:lang w:val="en-US" w:eastAsia="zh-CN"/>
              </w:rPr>
              <w:t>年</w:t>
            </w:r>
            <w:r>
              <w:rPr>
                <w:rFonts w:hint="eastAsia"/>
              </w:rPr>
              <w:t>5</w:t>
            </w:r>
            <w:r>
              <w:rPr>
                <w:rFonts w:hint="eastAsia"/>
                <w:lang w:val="en-US" w:eastAsia="zh-CN"/>
              </w:rPr>
              <w:t>月</w:t>
            </w:r>
            <w:r>
              <w:rPr>
                <w:rFonts w:hint="eastAsia"/>
              </w:rPr>
              <w:t xml:space="preserve">22 </w:t>
            </w:r>
            <w:r>
              <w:rPr>
                <w:rFonts w:hint="eastAsia"/>
                <w:lang w:val="en-US" w:eastAsia="zh-CN"/>
              </w:rPr>
              <w:t>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vAlign w:val="top"/>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pPr>
            <w:r>
              <w:rPr>
                <w:rFonts w:hint="eastAsia" w:ascii="Wingdings" w:hAnsi="Wingdings"/>
                <w:lang w:eastAsia="zh-CN"/>
              </w:rPr>
              <w:sym w:font="Wingdings 2" w:char="0052"/>
            </w:r>
            <w:r>
              <w:rPr>
                <w:rFonts w:hint="eastAsia"/>
              </w:rPr>
              <w:t>不合格产品/服务</w:t>
            </w:r>
            <w:r>
              <w:rPr>
                <w:rFonts w:hint="eastAsia" w:ascii="Wingdings" w:hAnsi="Wingdings"/>
                <w:lang w:eastAsia="zh-CN"/>
              </w:rPr>
              <w:sym w:font="Wingdings 2" w:char="0052"/>
            </w:r>
            <w:r>
              <w:rPr>
                <w:rFonts w:hint="eastAsia"/>
              </w:rPr>
              <w:t>自我验证的结果</w:t>
            </w:r>
            <w:r>
              <w:rPr>
                <w:rFonts w:hint="eastAsia" w:ascii="Wingdings" w:hAnsi="Wingdings"/>
                <w:lang w:eastAsia="zh-CN"/>
              </w:rPr>
              <w:sym w:font="Wingdings 2" w:char="0052"/>
            </w:r>
            <w:r>
              <w:rPr>
                <w:rFonts w:hint="eastAsia"/>
              </w:rPr>
              <w:t>顾客投诉</w:t>
            </w:r>
            <w:r>
              <w:rPr>
                <w:rFonts w:hint="eastAsia" w:ascii="Wingdings" w:hAnsi="Wingdings"/>
                <w:lang w:eastAsia="zh-CN"/>
              </w:rPr>
              <w:sym w:font="Wingdings 2" w:char="0052"/>
            </w:r>
            <w:r>
              <w:rPr>
                <w:rFonts w:hint="eastAsia"/>
              </w:rPr>
              <w:t>顾客满意调查</w:t>
            </w:r>
          </w:p>
          <w:p>
            <w:pPr>
              <w:shd w:val="clear" w:color="auto" w:fill="C7DAF1" w:themeFill="text2"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3</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5071745</wp:posOffset>
              </wp:positionH>
              <wp:positionV relativeFrom="paragraph">
                <wp:posOffset>123190</wp:posOffset>
              </wp:positionV>
              <wp:extent cx="1249680" cy="256540"/>
              <wp:effectExtent l="0" t="0" r="7620" b="10160"/>
              <wp:wrapNone/>
              <wp:docPr id="1" name="文本框 1"/>
              <wp:cNvGraphicFramePr/>
              <a:graphic xmlns:a="http://schemas.openxmlformats.org/drawingml/2006/main">
                <a:graphicData uri="http://schemas.microsoft.com/office/word/2010/wordprocessingShape">
                  <wps:wsp>
                    <wps:cNvSpPr txBox="1"/>
                    <wps:spPr>
                      <a:xfrm>
                        <a:off x="0" y="0"/>
                        <a:ext cx="1249680" cy="256540"/>
                      </a:xfrm>
                      <a:prstGeom prst="rect">
                        <a:avLst/>
                      </a:prstGeom>
                      <a:solidFill>
                        <a:srgbClr val="FFFFFF"/>
                      </a:solidFill>
                      <a:ln>
                        <a:noFill/>
                      </a:ln>
                    </wps:spPr>
                    <wps:txb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wps:txbx>
                    <wps:bodyPr upright="1"/>
                  </wps:wsp>
                </a:graphicData>
              </a:graphic>
            </wp:anchor>
          </w:drawing>
        </mc:Choice>
        <mc:Fallback>
          <w:pict>
            <v:shape id="_x0000_s1026" o:spid="_x0000_s1026" o:spt="202" type="#_x0000_t202" style="position:absolute;left:0pt;margin-left:399.35pt;margin-top:9.7pt;height:20.2pt;width:98.4pt;z-index:251659264;mso-width-relative:page;mso-height-relative:page;" fillcolor="#FFFFFF" filled="t" stroked="f" coordsize="21600,21600" o:gfxdata="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KvmK93XAAAACQEAAA8AAAAAAAAAAQAgAAAAIgAAAGRycy9kb3ducmV2Lnht&#10;bFBLAQIUABQAAAAIAIdO4kBeG0v5wQEAAHcDAAAOAAAAAAAAAAEAIAAAACYBAABkcnMvZTJvRG9j&#10;LnhtbFBLBQYAAAAABgAGAFkBAABZBQAAAAA=&#10;">
              <v:fill on="t" focussize="0,0"/>
              <v:stroke on="f"/>
              <v:imagedata o:title=""/>
              <o:lock v:ext="edit" aspectratio="f"/>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mc:Fallback>
      </mc:AlternateConten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xNTRhZmMwYTZhMGE0NzY5YTQ4OGYyNzNkZGE0NDYifQ=="/>
  </w:docVars>
  <w:rsids>
    <w:rsidRoot w:val="00000000"/>
    <w:rsid w:val="152D1C10"/>
    <w:rsid w:val="1CD06430"/>
    <w:rsid w:val="36C409BE"/>
    <w:rsid w:val="611B0C84"/>
    <w:rsid w:val="765921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13</TotalTime>
  <ScaleCrop>false</ScaleCrop>
  <LinksUpToDate>false</LinksUpToDate>
  <CharactersWithSpaces>21168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春华秋实</cp:lastModifiedBy>
  <cp:lastPrinted>2019-05-13T03:19:00Z</cp:lastPrinted>
  <dcterms:modified xsi:type="dcterms:W3CDTF">2022-10-12T23:52:08Z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265654D85A4944D992EB037C42E06A85</vt:lpwstr>
  </property>
  <property fmtid="{D5CDD505-2E9C-101B-9397-08002B2CF9AE}" pid="3" name="KSOProductBuildVer">
    <vt:lpwstr>2052-11.1.0.12358</vt:lpwstr>
  </property>
</Properties>
</file>