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0315-2020-Q-2022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襄阳捷富迅轨道交通设备有限公司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襄阳捷富迅轨道交通设备有限公司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襄阳市襄城区花梨木店村五组</w:t>
            </w:r>
            <w:bookmarkEnd w:id="6"/>
          </w:p>
        </w:tc>
        <w:tc>
          <w:tcPr>
            <w:tcW w:w="1242" w:type="dxa"/>
            <w:vMerge w:val="restart"/>
            <w:vAlign w:val="center"/>
          </w:tcPr>
          <w:p>
            <w:r>
              <w:rPr>
                <w:rFonts w:hint="eastAsia"/>
              </w:rPr>
              <w:t>邮编</w:t>
            </w:r>
          </w:p>
        </w:tc>
        <w:tc>
          <w:tcPr>
            <w:tcW w:w="1771" w:type="dxa"/>
          </w:tcPr>
          <w:p>
            <w:bookmarkStart w:id="7" w:name="注册邮编"/>
            <w:r>
              <w:t>441021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襄阳市襄城区花梨木店村五组</w:t>
            </w:r>
            <w:bookmarkEnd w:id="8"/>
          </w:p>
        </w:tc>
        <w:tc>
          <w:tcPr>
            <w:tcW w:w="1242" w:type="dxa"/>
            <w:vMerge w:val="continue"/>
            <w:vAlign w:val="center"/>
          </w:tcPr>
          <w:p/>
        </w:tc>
        <w:tc>
          <w:tcPr>
            <w:tcW w:w="1771" w:type="dxa"/>
          </w:tcPr>
          <w:p>
            <w:bookmarkStart w:id="9" w:name="办公邮编"/>
            <w:r>
              <w:t>441021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曹可禹</w:t>
            </w:r>
            <w:bookmarkEnd w:id="10"/>
          </w:p>
        </w:tc>
        <w:tc>
          <w:tcPr>
            <w:tcW w:w="1313" w:type="dxa"/>
            <w:vAlign w:val="center"/>
          </w:tcPr>
          <w:p>
            <w:r>
              <w:rPr>
                <w:rFonts w:hint="eastAsia"/>
              </w:rPr>
              <w:t>电话.</w:t>
            </w:r>
          </w:p>
        </w:tc>
        <w:tc>
          <w:tcPr>
            <w:tcW w:w="2180" w:type="dxa"/>
            <w:vAlign w:val="center"/>
          </w:tcPr>
          <w:p>
            <w:pPr>
              <w:rPr>
                <w:rFonts w:hint="default" w:eastAsia="宋体"/>
                <w:lang w:val="en-US" w:eastAsia="zh-CN"/>
              </w:rPr>
            </w:pPr>
            <w:r>
              <w:rPr>
                <w:rFonts w:hint="eastAsia"/>
                <w:lang w:val="en-US" w:eastAsia="zh-CN"/>
              </w:rPr>
              <w:t>15717853888</w:t>
            </w:r>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曹可禹</w:t>
            </w:r>
            <w:bookmarkEnd w:id="12"/>
          </w:p>
        </w:tc>
        <w:tc>
          <w:tcPr>
            <w:tcW w:w="1313" w:type="dxa"/>
            <w:vAlign w:val="center"/>
          </w:tcPr>
          <w:p>
            <w:r>
              <w:rPr>
                <w:rFonts w:hint="eastAsia"/>
              </w:rPr>
              <w:t>管理者代表</w:t>
            </w:r>
          </w:p>
        </w:tc>
        <w:tc>
          <w:tcPr>
            <w:tcW w:w="2180" w:type="dxa"/>
          </w:tcPr>
          <w:p>
            <w:bookmarkStart w:id="13" w:name="管理者代表"/>
            <w:r>
              <w:t>李天福</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rPr>
                <w:rFonts w:hint="eastAsia"/>
              </w:rPr>
            </w:pPr>
            <w:r>
              <w:rPr>
                <w:rFonts w:hint="eastAsia"/>
              </w:rPr>
              <w:t>火车司机座椅、火车机车休息床的制造：</w:t>
            </w:r>
          </w:p>
          <w:p>
            <w:pPr>
              <w:pStyle w:val="2"/>
              <w:rPr>
                <w:rFonts w:hint="eastAsia"/>
              </w:rPr>
            </w:pPr>
            <w:r>
              <w:rPr>
                <w:rFonts w:hint="eastAsia"/>
              </w:rPr>
              <w:t>座椅；锯元管——弯管（外包）——焊接——做漆（外包）——组装——调试</w:t>
            </w:r>
          </w:p>
          <w:p>
            <w:pPr>
              <w:pStyle w:val="2"/>
            </w:pPr>
            <w:r>
              <w:rPr>
                <w:rFonts w:hint="eastAsia"/>
              </w:rPr>
              <w:t>休息床：下钢板——焊接——做漆（外包）——铺面、包布——组装——调试</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2022年09月2</w:t>
            </w:r>
            <w:r>
              <w:rPr>
                <w:rFonts w:hint="eastAsia"/>
                <w:lang w:val="en-US" w:eastAsia="zh-CN"/>
              </w:rPr>
              <w:t>4</w:t>
            </w:r>
            <w:r>
              <w:rPr>
                <w:rFonts w:hint="eastAsia"/>
              </w:rPr>
              <w:t>日 上午至2022年09月2</w:t>
            </w:r>
            <w:r>
              <w:rPr>
                <w:rFonts w:hint="eastAsia"/>
                <w:lang w:val="en-US" w:eastAsia="zh-CN"/>
              </w:rPr>
              <w:t>4</w:t>
            </w:r>
            <w:r>
              <w:rPr>
                <w:rFonts w:hint="eastAsia"/>
              </w:rPr>
              <w:t>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襄阳市襄城区花梨木店村五组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火车司机座椅、火车机车休息床的制造</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22.04.00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2021年10月08日 下午至2021年10月09日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rFonts w:hint="eastAsia"/>
                <w:lang w:val="de-DE" w:eastAsia="ja-JP"/>
              </w:rPr>
              <w:t>襄阳捷富迅轨道交通设备有限公司</w:t>
            </w:r>
            <w:r>
              <w:rPr>
                <w:rFonts w:hint="eastAsia"/>
                <w:lang w:val="en-US" w:eastAsia="zh-CN"/>
              </w:rPr>
              <w:t>/襄阳市襄城区花梨木店村五组</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lang w:val="de-DE" w:eastAsia="ja-JP"/>
              </w:rPr>
              <w:t>襄阳市襄城区花梨木店村五组</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803" w:type="dxa"/>
            <w:vAlign w:val="center"/>
          </w:tcPr>
          <w:p>
            <w:pPr>
              <w:rPr>
                <w:rFonts w:ascii="Times New Roman" w:hAnsi="Times New Roman" w:eastAsia="宋体" w:cs="Times New Roman"/>
                <w:kern w:val="2"/>
                <w:sz w:val="21"/>
                <w:szCs w:val="24"/>
                <w:lang w:val="en-US" w:eastAsia="ja-JP" w:bidi="ar-SA"/>
              </w:rPr>
            </w:pPr>
            <w:r>
              <w:rPr>
                <w:rFonts w:hint="eastAsia"/>
                <w:lang w:eastAsia="ja-JP"/>
              </w:rPr>
              <w:t>火车司机座椅、火车机车休息床的制造</w:t>
            </w:r>
          </w:p>
        </w:tc>
        <w:tc>
          <w:tcPr>
            <w:tcW w:w="669" w:type="dxa"/>
            <w:vAlign w:val="center"/>
          </w:tcPr>
          <w:p>
            <w:pPr>
              <w:rPr>
                <w:rFonts w:ascii="Times New Roman" w:hAnsi="Times New Roman" w:eastAsia="宋体" w:cs="Times New Roman"/>
                <w:kern w:val="2"/>
                <w:sz w:val="21"/>
                <w:szCs w:val="24"/>
                <w:lang w:val="en-US" w:eastAsia="ja-JP" w:bidi="ar-SA"/>
              </w:rPr>
            </w:pPr>
            <w:r>
              <w:rPr>
                <w:rFonts w:hint="eastAsia"/>
                <w:lang w:val="de-DE"/>
              </w:rPr>
              <w:t>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2022-N1QMS-3210533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曹瑞龙</w:t>
            </w:r>
          </w:p>
        </w:tc>
        <w:tc>
          <w:tcPr>
            <w:tcW w:w="1089" w:type="dxa"/>
            <w:vAlign w:val="center"/>
          </w:tcPr>
          <w:p>
            <w:r>
              <w:t>组员</w:t>
            </w:r>
          </w:p>
        </w:tc>
        <w:tc>
          <w:tcPr>
            <w:tcW w:w="711" w:type="dxa"/>
            <w:vAlign w:val="center"/>
          </w:tcPr>
          <w:p>
            <w:r>
              <w:t>男</w:t>
            </w:r>
          </w:p>
        </w:tc>
        <w:tc>
          <w:tcPr>
            <w:tcW w:w="3870" w:type="dxa"/>
            <w:vAlign w:val="center"/>
          </w:tcPr>
          <w:p>
            <w:r>
              <w:t>ISC-JSZJ-143</w:t>
            </w:r>
          </w:p>
          <w:p>
            <w:r>
              <w:t>襄阳旭隆机械制造有限公司</w:t>
            </w:r>
          </w:p>
        </w:tc>
        <w:tc>
          <w:tcPr>
            <w:tcW w:w="2179" w:type="dxa"/>
            <w:vAlign w:val="center"/>
          </w:tcPr>
          <w:p>
            <w:r>
              <w:t>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查上次不符合已整改完成，验证纠正措施有效。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40640</wp:posOffset>
                  </wp:positionV>
                  <wp:extent cx="1003935" cy="316230"/>
                  <wp:effectExtent l="0" t="0" r="12065" b="1270"/>
                  <wp:wrapNone/>
                  <wp:docPr id="1" name="图片 1" descr="166630685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6306858253"/>
                          <pic:cNvPicPr>
                            <a:picLocks noChangeAspect="1"/>
                          </pic:cNvPicPr>
                        </pic:nvPicPr>
                        <pic:blipFill>
                          <a:blip r:embed="rId6"/>
                          <a:stretch>
                            <a:fillRect/>
                          </a:stretch>
                        </pic:blipFill>
                        <pic:spPr>
                          <a:xfrm>
                            <a:off x="0" y="0"/>
                            <a:ext cx="1003935" cy="31623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eastAsia="zh-CN"/>
              </w:rPr>
            </w:pPr>
            <w:r>
              <w:rPr>
                <w:rFonts w:hint="eastAsia" w:ascii="宋体" w:eastAsia="宋体"/>
                <w:b/>
                <w:color w:val="0000FF"/>
                <w:szCs w:val="21"/>
                <w:lang w:eastAsia="zh-CN"/>
              </w:rPr>
              <w:drawing>
                <wp:anchor distT="0" distB="0" distL="114300" distR="114300" simplePos="0" relativeHeight="251662336" behindDoc="0" locked="0" layoutInCell="1" allowOverlap="1">
                  <wp:simplePos x="0" y="0"/>
                  <wp:positionH relativeFrom="column">
                    <wp:posOffset>13335</wp:posOffset>
                  </wp:positionH>
                  <wp:positionV relativeFrom="paragraph">
                    <wp:posOffset>26035</wp:posOffset>
                  </wp:positionV>
                  <wp:extent cx="1132840" cy="294640"/>
                  <wp:effectExtent l="0" t="0" r="10160" b="10160"/>
                  <wp:wrapNone/>
                  <wp:docPr id="2" name="图片 2" descr="166630690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6306902574"/>
                          <pic:cNvPicPr>
                            <a:picLocks noChangeAspect="1"/>
                          </pic:cNvPicPr>
                        </pic:nvPicPr>
                        <pic:blipFill>
                          <a:blip r:embed="rId7"/>
                          <a:stretch>
                            <a:fillRect/>
                          </a:stretch>
                        </pic:blipFill>
                        <pic:spPr>
                          <a:xfrm>
                            <a:off x="0" y="0"/>
                            <a:ext cx="1132840" cy="294640"/>
                          </a:xfrm>
                          <a:prstGeom prst="rect">
                            <a:avLst/>
                          </a:prstGeom>
                        </pic:spPr>
                      </pic:pic>
                    </a:graphicData>
                  </a:graphic>
                </wp:anchor>
              </w:drawing>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rPr>
                <w:rFonts w:hint="default"/>
              </w:rPr>
            </w:pPr>
            <w:r>
              <w:rPr>
                <w:rFonts w:hint="eastAsia"/>
              </w:rPr>
              <w:t>审核内容总结</w:t>
            </w:r>
            <w:r>
              <w:rPr>
                <w:rFonts w:hint="default"/>
              </w:rPr>
              <w:t>：</w:t>
            </w:r>
          </w:p>
          <w:p>
            <w:pPr>
              <w:pStyle w:val="2"/>
              <w:rPr>
                <w:rFonts w:hint="default"/>
              </w:rPr>
            </w:pPr>
            <w:r>
              <w:rPr>
                <w:rFonts w:hint="default"/>
              </w:rPr>
              <w:t>管理层：</w:t>
            </w:r>
            <w:r>
              <w:rPr>
                <w:rFonts w:hint="eastAsia"/>
                <w:lang w:eastAsia="zh-CN"/>
              </w:rPr>
              <w:t>Q</w:t>
            </w:r>
            <w:r>
              <w:rPr>
                <w:rFonts w:hint="default"/>
                <w:lang w:eastAsia="zh-CN"/>
              </w:rPr>
              <w:t>：</w:t>
            </w:r>
            <w:r>
              <w:rPr>
                <w:rFonts w:hint="default"/>
              </w:rPr>
              <w:t>4.1、4.2、4.3、4.4、5.1、5.2、5.3、6.1、6.2、6.3、7.1.1、7.4、9.1.1、9.3、10.1、10.3资质验证/范围再确认/上次审核问题整改验证/投诉或事故/政府主管部门监督抽查情况</w:t>
            </w:r>
          </w:p>
          <w:p>
            <w:pPr>
              <w:pStyle w:val="2"/>
              <w:rPr>
                <w:rFonts w:hint="default"/>
              </w:rPr>
            </w:pPr>
            <w:r>
              <w:rPr>
                <w:rFonts w:hint="default"/>
              </w:rPr>
              <w:t>业务部（含原料、成品仓库）：5.3、6.2、8.2、8.4、8.5.3、8.5.4、8.5.5、9.1.2</w:t>
            </w:r>
          </w:p>
          <w:p>
            <w:pPr>
              <w:pStyle w:val="2"/>
              <w:rPr>
                <w:rFonts w:hint="default"/>
              </w:rPr>
            </w:pPr>
            <w:r>
              <w:rPr>
                <w:rFonts w:hint="default"/>
              </w:rPr>
              <w:t>办公室：Q:5.3、6.2、7.1.2、7.1.6、7.2、7.3、7.5、9.1.3、9.2、10.2</w:t>
            </w:r>
          </w:p>
          <w:p>
            <w:pPr>
              <w:pStyle w:val="2"/>
              <w:rPr>
                <w:rFonts w:hint="default"/>
              </w:rPr>
            </w:pPr>
            <w:r>
              <w:rPr>
                <w:rFonts w:hint="default"/>
              </w:rPr>
              <w:t xml:space="preserve">生产部：Q:5.3、6.2、7.1.3、7.1.4、8.1、8.5.1、8.5.2、8.5.4 </w:t>
            </w:r>
          </w:p>
          <w:p>
            <w:pPr>
              <w:shd w:val="clear" w:color="auto" w:fill="C7DAF1" w:themeFill="text2" w:themeFillTint="32"/>
            </w:pPr>
            <w:r>
              <w:rPr>
                <w:rFonts w:hint="default"/>
              </w:rPr>
              <w:t xml:space="preserve">品质部：Q:5.3、6.2、7.1.5、8.3、8.5.6、8.6、8.7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主管部门</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供方</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顾客</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消费者</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员工</w:t>
                  </w:r>
                </w:p>
              </w:tc>
              <w:tc>
                <w:tcPr>
                  <w:tcW w:w="6912" w:type="dxa"/>
                  <w:vAlign w:val="top"/>
                </w:tcPr>
                <w:p>
                  <w:pPr>
                    <w:shd w:val="clear" w:color="auto" w:fill="C7DAF1" w:themeFill="text2" w:themeFillTint="32"/>
                  </w:pPr>
                  <w:r>
                    <w:rPr>
                      <w:rFonts w:hint="eastAsia"/>
                      <w:color w:val="000000"/>
                      <w:lang w:eastAsia="zh-CN"/>
                    </w:rPr>
                    <w:sym w:font="Wingdings 2" w:char="0052"/>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投资方</w:t>
                  </w:r>
                </w:p>
              </w:tc>
              <w:tc>
                <w:tcPr>
                  <w:tcW w:w="6912" w:type="dxa"/>
                  <w:vAlign w:val="top"/>
                </w:tcPr>
                <w:p>
                  <w:pPr>
                    <w:shd w:val="clear" w:color="auto" w:fill="C7DAF1" w:themeFill="text2" w:themeFillTint="32"/>
                  </w:pPr>
                  <w:r>
                    <w:rPr>
                      <w:rFonts w:hint="eastAsia"/>
                      <w:color w:val="000000"/>
                      <w:lang w:eastAsia="zh-CN"/>
                    </w:rPr>
                    <w:t>□</w:t>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vAlign w:val="top"/>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w:t>
            </w:r>
            <w:r>
              <w:rPr>
                <w:rFonts w:hint="eastAsia"/>
              </w:rPr>
              <w:sym w:font="Wingdings 2" w:char="0052"/>
            </w:r>
            <w:r>
              <w:rPr>
                <w:rFonts w:hint="eastAsia"/>
              </w:rPr>
              <w:t>检验检测□产品运输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精益求精、质量第一、顾客满意。</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客户对产品质量标准提高，材料要求环保材料，以及对供应周期和售后服务的期望值提升，给公司材料采购、生产、质量和售后管理提出新的要求</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加强与客户进行质量标准制定的沟通，统一双方的标准和检测方法；生产部门做好生产计划的安排，保证生产计划的执行；</w:t>
                  </w:r>
                  <w:r>
                    <w:rPr>
                      <w:rFonts w:hint="eastAsia"/>
                      <w:lang w:eastAsia="zh-CN"/>
                    </w:rPr>
                    <w:t>业务部</w:t>
                  </w:r>
                  <w:r>
                    <w:rPr>
                      <w:rFonts w:hint="eastAsia"/>
                    </w:rPr>
                    <w:t>加大客户交流沟通，及时处理客户的需求和意见</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监管部门监管力度的加大，如公司执行不规范，可能存在被查处的风险</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各级部门严格按照公司的规章制度开展相关工作</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原材料市场不稳定，希望签订的年度合同和保底价格，带来的采购和资金风险。</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对公司影响较大的大宗原材料做好年度采购计划</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 xml:space="preserve"> 产品一次交检合格率≥9</w:t>
                  </w:r>
                  <w:r>
                    <w:rPr>
                      <w:rFonts w:hint="eastAsia" w:cs="Times New Roman"/>
                      <w:szCs w:val="21"/>
                      <w:lang w:val="en-US" w:eastAsia="zh-CN"/>
                    </w:rPr>
                    <w:t>8</w:t>
                  </w:r>
                  <w:r>
                    <w:rPr>
                      <w:rFonts w:hint="eastAsia" w:ascii="Times New Roman" w:hAnsi="Times New Roman" w:eastAsia="宋体" w:cs="Times New Roman"/>
                      <w:szCs w:val="21"/>
                      <w:lang w:eastAsia="zh-CN"/>
                    </w:rPr>
                    <w:t>%</w:t>
                  </w:r>
                </w:p>
              </w:tc>
              <w:tc>
                <w:tcPr>
                  <w:tcW w:w="3136"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GB" w:eastAsia="zh-CN" w:bidi="ar-SA"/>
                    </w:rPr>
                  </w:pPr>
                  <w:r>
                    <w:rPr>
                      <w:rFonts w:hint="eastAsia" w:ascii="Times New Roman" w:hAnsi="Times New Roman" w:eastAsia="宋体" w:cs="Times New Roman"/>
                      <w:szCs w:val="21"/>
                      <w:lang w:eastAsia="zh-CN"/>
                    </w:rPr>
                    <w:t xml:space="preserve"> 产品一次交检</w:t>
                  </w:r>
                  <w:r>
                    <w:rPr>
                      <w:rFonts w:hint="eastAsia" w:ascii="Times New Roman" w:hAnsi="Times New Roman" w:eastAsia="宋体" w:cs="Times New Roman"/>
                      <w:szCs w:val="21"/>
                    </w:rPr>
                    <w:t>合格产品数/生产产品总数×100%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品质部</w:t>
                  </w:r>
                </w:p>
              </w:tc>
              <w:tc>
                <w:tcPr>
                  <w:tcW w:w="1774"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GB" w:eastAsia="zh-CN" w:bidi="ar-SA"/>
                    </w:rPr>
                  </w:pPr>
                  <w:r>
                    <w:rPr>
                      <w:rFonts w:hint="eastAsia" w:cs="Times New Roman"/>
                      <w:szCs w:val="21"/>
                      <w:lang w:val="en-US" w:eastAsia="zh-CN"/>
                    </w:rPr>
                    <w:t>99</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顾客满意率≥94分</w:t>
                  </w:r>
                </w:p>
              </w:tc>
              <w:tc>
                <w:tcPr>
                  <w:tcW w:w="3136"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调查回收的顾客满意度分数之和</w:t>
                  </w:r>
                  <w:r>
                    <w:rPr>
                      <w:rFonts w:hint="eastAsia" w:cs="Times New Roman"/>
                      <w:szCs w:val="21"/>
                      <w:lang w:val="en-US" w:eastAsia="zh-CN"/>
                    </w:rPr>
                    <w:t>的平均值</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业务部</w:t>
                  </w:r>
                </w:p>
              </w:tc>
              <w:tc>
                <w:tcPr>
                  <w:tcW w:w="1774" w:type="dxa"/>
                  <w:shd w:val="clear" w:color="auto" w:fill="auto"/>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95</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4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w:t>
            </w:r>
            <w:r>
              <w:rPr>
                <w:rFonts w:hint="eastAsia"/>
                <w:u w:val="single"/>
              </w:rPr>
              <w:t>木锯刨、射钉枪、电焊机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钢卷尺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t>组织</w:t>
            </w:r>
            <w:r>
              <w:rPr>
                <w:rFonts w:hint="eastAsia"/>
              </w:rPr>
              <w:t>已</w:t>
            </w:r>
            <w:r>
              <w:t>确定所需的知识，以运行过程并获得合格产品和服务</w:t>
            </w:r>
          </w:p>
          <w:p>
            <w:pPr>
              <w:shd w:val="clear" w:color="auto" w:fill="C7DAF1"/>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组织已确定在其控制的工作人员所需具备的能力，并采取措施以获得所需的能力，并评价措施的有效性；</w:t>
            </w:r>
          </w:p>
          <w:p>
            <w:pPr>
              <w:shd w:val="clear" w:color="auto" w:fill="C7DAF1"/>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pPr>
            <w:r>
              <w:rPr>
                <w:rFonts w:hint="eastAsia"/>
              </w:rPr>
              <w:t>对国家规定持证上岗的人员资质进行了有效的管理。</w:t>
            </w:r>
          </w:p>
          <w:p>
            <w:pPr>
              <w:shd w:val="clear" w:color="auto" w:fill="C7DAF1"/>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组织已确定与质量管理体系相关的内部和外部沟通。</w:t>
            </w:r>
          </w:p>
          <w:p>
            <w:pPr>
              <w:shd w:val="clear" w:color="auto" w:fill="C7DAF1"/>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pPr>
            <w:r>
              <w:rPr>
                <w:rFonts w:hint="eastAsia"/>
              </w:rPr>
              <w:t>对质量相关的外来文件（法律法规、产品标准）进行了识别和贯彻。</w:t>
            </w:r>
          </w:p>
          <w:p>
            <w:pPr>
              <w:shd w:val="clear" w:color="auto" w:fill="C7DAF1"/>
            </w:pPr>
            <w:r>
              <w:rPr>
                <w:rFonts w:hint="eastAsia"/>
              </w:rPr>
              <w:sym w:font="Wingdings 2" w:char="0052"/>
            </w:r>
            <w:r>
              <w:rPr>
                <w:rFonts w:hint="eastAsia"/>
              </w:rPr>
              <w:t>法律法规获取充分，□法律法规获取有遗漏，缺少：</w:t>
            </w:r>
          </w:p>
          <w:p>
            <w:pPr>
              <w:shd w:val="clear" w:color="auto" w:fill="C7DAF1"/>
            </w:pPr>
          </w:p>
          <w:p>
            <w:pPr>
              <w:shd w:val="clear" w:color="auto" w:fill="C7DAF1"/>
            </w:pPr>
            <w:r>
              <w:rPr>
                <w:rFonts w:hint="eastAsia"/>
              </w:rPr>
              <w:t>对QMS和产品相关的运行记录进行了保留、储存、保护、检索查询、处置等管理。</w:t>
            </w:r>
          </w:p>
          <w:p>
            <w:pPr>
              <w:shd w:val="clear" w:color="auto" w:fill="C7DAF1"/>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pPr>
            <w:r>
              <w:rPr>
                <w:rFonts w:hint="eastAsia"/>
              </w:rPr>
              <w:t>组织为对产品和服务提供满足的要求，已对产品和服务提供的过程（见4.4）进行策划、实施和控制。策划文件包括：</w:t>
            </w:r>
          </w:p>
          <w:p>
            <w:pPr>
              <w:shd w:val="clear" w:color="auto" w:fill="C7DAF1"/>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组织建立并实施了与顾客沟通；如产品和服务的信息、顾客投诉、顾客财产、应急措施等。</w:t>
            </w:r>
          </w:p>
          <w:p>
            <w:pPr>
              <w:shd w:val="clear" w:color="auto" w:fill="C7DAF1"/>
            </w:pPr>
            <w:r>
              <w:rPr>
                <w:rFonts w:hint="eastAsia"/>
              </w:rPr>
              <w:t>组织对产品和服务要求进行了评审，确保有能力向顾客提供满足要求的产品和服务。</w:t>
            </w:r>
          </w:p>
          <w:p>
            <w:pPr>
              <w:shd w:val="clear" w:color="auto" w:fill="C7DAF1"/>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组织建立、实施和保持了适当的设计和开发过程，以确保后续的产品和服务的提供。（适用时）</w:t>
            </w:r>
          </w:p>
          <w:p>
            <w:pPr>
              <w:shd w:val="clear" w:color="auto" w:fill="C7DAF1"/>
            </w:pPr>
            <w:r>
              <w:rPr>
                <w:rFonts w:hint="eastAsia"/>
              </w:rPr>
              <w:t>审核期间内设计和开发新产品/项目名称：</w:t>
            </w:r>
            <w:r>
              <w:rPr>
                <w:rFonts w:hint="eastAsia"/>
                <w:u w:val="single"/>
              </w:rPr>
              <w:t>（</w:t>
            </w:r>
            <w:r>
              <w:rPr>
                <w:rFonts w:hint="eastAsia"/>
              </w:rPr>
              <w:t>举1例）</w:t>
            </w:r>
          </w:p>
          <w:p>
            <w:pPr>
              <w:shd w:val="clear" w:color="auto" w:fill="C7DAF1"/>
            </w:pPr>
            <w:r>
              <w:rPr>
                <w:rFonts w:hint="eastAsia"/>
              </w:rPr>
              <w:t>该项目的设计和开发的输入、输出、变更进行了控制。</w:t>
            </w:r>
          </w:p>
          <w:p>
            <w:pPr>
              <w:shd w:val="clear" w:color="auto" w:fill="C7DAF1"/>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组织对外部提供的过程、产品和服务的供方按照对产品/服务质量的类型和程度实施控制。</w:t>
            </w:r>
          </w:p>
          <w:p>
            <w:pPr>
              <w:shd w:val="clear" w:color="auto" w:fill="C7DAF1"/>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1059"/>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shd w:val="clear" w:color="auto" w:fill="C7DAF1" w:themeFill="text2" w:themeFillTint="32"/>
                    <w:jc w:val="left"/>
                  </w:pPr>
                  <w:r>
                    <w:rPr>
                      <w:rFonts w:hint="eastAsia"/>
                    </w:rPr>
                    <w:t>产品/服务名称</w:t>
                  </w:r>
                </w:p>
              </w:tc>
              <w:tc>
                <w:tcPr>
                  <w:tcW w:w="1059" w:type="dxa"/>
                </w:tcPr>
                <w:p>
                  <w:pPr>
                    <w:shd w:val="clear" w:color="auto" w:fill="C7DAF1" w:themeFill="text2" w:themeFillTint="32"/>
                    <w:jc w:val="left"/>
                  </w:pPr>
                  <w:r>
                    <w:rPr>
                      <w:rFonts w:hint="eastAsia"/>
                    </w:rPr>
                    <w:t>关键过程</w:t>
                  </w:r>
                </w:p>
              </w:tc>
              <w:tc>
                <w:tcPr>
                  <w:tcW w:w="4787"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shd w:val="clear" w:color="auto" w:fill="C7DAF1" w:themeFill="text2" w:themeFillTint="32"/>
                    <w:jc w:val="left"/>
                  </w:pPr>
                  <w:r>
                    <w:rPr>
                      <w:rFonts w:hint="eastAsia"/>
                    </w:rPr>
                    <w:t>火车司机座椅、火车机车休息床的制造</w:t>
                  </w:r>
                </w:p>
              </w:tc>
              <w:tc>
                <w:tcPr>
                  <w:tcW w:w="1059" w:type="dxa"/>
                </w:tcPr>
                <w:p>
                  <w:pPr>
                    <w:shd w:val="clear" w:color="auto" w:fill="C7DAF1" w:themeFill="text2" w:themeFillTint="32"/>
                    <w:jc w:val="left"/>
                  </w:pPr>
                  <w:r>
                    <w:rPr>
                      <w:rFonts w:hint="eastAsia"/>
                    </w:rPr>
                    <w:t>焊接</w:t>
                  </w:r>
                </w:p>
              </w:tc>
              <w:tc>
                <w:tcPr>
                  <w:tcW w:w="4787" w:type="dxa"/>
                </w:tcPr>
                <w:p>
                  <w:pPr>
                    <w:shd w:val="clear" w:color="auto" w:fill="C7DAF1" w:themeFill="text2" w:themeFillTint="32"/>
                    <w:jc w:val="left"/>
                  </w:pPr>
                  <w:r>
                    <w:rPr>
                      <w:rFonts w:hint="eastAsia"/>
                    </w:rPr>
                    <w:t>主要控制参数：电压、电流，外观控制要求：焊缝质量满焊， 焊接时无焊瘤、夹渣，焊缝必须均匀。</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组织在生产和服务提供的整个过程中对产品和监视和测量状态进行标识和追溯。</w:t>
            </w:r>
          </w:p>
          <w:p>
            <w:pPr>
              <w:shd w:val="clear" w:color="auto" w:fill="C7DAF1"/>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A3"/>
            </w:r>
            <w:r>
              <w:rPr>
                <w:rFonts w:hint="eastAsia"/>
              </w:rPr>
              <w:t>容器编号</w:t>
            </w:r>
            <w:r>
              <w:rPr>
                <w:rFonts w:hint="eastAsia" w:ascii="Wingdings" w:hAnsi="Wingdings"/>
                <w:lang w:eastAsia="zh-CN"/>
              </w:rPr>
              <w:sym w:font="Wingdings 2" w:char="00A3"/>
            </w:r>
            <w:r>
              <w:rPr>
                <w:rFonts w:hint="eastAsia"/>
              </w:rPr>
              <w:t>人员编号</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组织爱护在组织控制下或使用顾客或外部供方的财产。</w:t>
            </w:r>
          </w:p>
          <w:p>
            <w:pPr>
              <w:shd w:val="clear" w:color="auto" w:fill="C7DAF1"/>
            </w:pPr>
            <w:r>
              <w:rPr>
                <w:rFonts w:hint="eastAsia"/>
              </w:rPr>
              <w:t>目前的顾客或外部供方财产包括：</w:t>
            </w:r>
          </w:p>
          <w:p>
            <w:pPr>
              <w:shd w:val="clear" w:color="auto" w:fill="C7DAF1"/>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组织应在生产和服务提供期间对输出进行必要防护，以确保符合要求。</w:t>
            </w:r>
          </w:p>
          <w:p>
            <w:pPr>
              <w:shd w:val="clear" w:color="auto" w:fill="C7DAF1"/>
            </w:pPr>
            <w:r>
              <w:rPr>
                <w:rFonts w:hint="eastAsia"/>
              </w:rPr>
              <w:t>可包括标识、处置、污染控制、包装、储存、传输或运输以及保护。</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组织应满足与产品和服务相关的交付后活动的要求。</w:t>
            </w:r>
          </w:p>
          <w:p>
            <w:pPr>
              <w:shd w:val="clear" w:color="auto" w:fill="C7DAF1"/>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A3"/>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组织对生产和服务提供的更改进行必要的评审和控制，以确保持续地符合要求。</w:t>
            </w:r>
          </w:p>
          <w:p>
            <w:pPr>
              <w:shd w:val="clear" w:color="auto" w:fill="C7DAF1"/>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组织在适当阶段实施策划的安排，以验证产品和服务的要求已得到满足。</w:t>
            </w:r>
          </w:p>
          <w:p>
            <w:pPr>
              <w:shd w:val="clear" w:color="auto" w:fill="C7DAF1"/>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A3"/>
            </w:r>
            <w:r>
              <w:rPr>
                <w:rFonts w:hint="eastAsia"/>
              </w:rPr>
              <w:t>型式检验</w:t>
            </w:r>
            <w:r>
              <w:rPr>
                <w:rFonts w:hint="eastAsia" w:ascii="Wingdings" w:hAnsi="Wingdings"/>
                <w:lang w:eastAsia="zh-CN"/>
              </w:rPr>
              <w:t>□</w:t>
            </w:r>
            <w:r>
              <w:rPr>
                <w:rFonts w:hint="eastAsia"/>
              </w:rPr>
              <w:t>其他</w:t>
            </w:r>
          </w:p>
          <w:p>
            <w:pPr>
              <w:shd w:val="clear" w:color="auto" w:fill="C7DAF1"/>
            </w:pPr>
            <w:r>
              <w:rPr>
                <w:rFonts w:hint="eastAsia"/>
              </w:rPr>
              <w:t>《型式检验报告》，如：。</w:t>
            </w:r>
          </w:p>
          <w:p>
            <w:pPr>
              <w:shd w:val="clear" w:color="auto" w:fill="C7DAF1"/>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 年</w:t>
            </w:r>
            <w:r>
              <w:rPr>
                <w:rFonts w:hint="eastAsia"/>
                <w:lang w:val="en-US" w:eastAsia="zh-CN"/>
              </w:rPr>
              <w:t>6</w:t>
            </w:r>
            <w:r>
              <w:rPr>
                <w:rFonts w:hint="eastAsia"/>
              </w:rPr>
              <w:t>月</w:t>
            </w:r>
            <w:r>
              <w:rPr>
                <w:rFonts w:hint="eastAsia"/>
                <w:lang w:val="en-US" w:eastAsia="zh-CN"/>
              </w:rPr>
              <w:t>19</w:t>
            </w:r>
            <w:r>
              <w:rPr>
                <w:rFonts w:hint="eastAsia"/>
              </w:rPr>
              <w:t>日实施了质量管理体系内部审核，对质量管理体系的符合性和有效性进行了审核。内审发现的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最高管理者已按策划的时间间隔，在2022</w:t>
            </w:r>
            <w:r>
              <w:rPr>
                <w:rFonts w:hint="eastAsia"/>
                <w:lang w:val="en-US" w:eastAsia="zh-CN"/>
              </w:rPr>
              <w:t>年7月4</w:t>
            </w:r>
            <w:r>
              <w:rPr>
                <w:rFonts w:hint="eastAsia"/>
              </w:rPr>
              <w:t xml:space="preserve"> </w:t>
            </w:r>
            <w:r>
              <w:rPr>
                <w:rFonts w:hint="eastAsia"/>
                <w:lang w:val="en-US"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bookmarkStart w:id="33" w:name="_GoBack" w:colFirst="1" w:colLast="12"/>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bookmarkEnd w:id="33"/>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3"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Yr3dcAAAAJAQAADwAAAAAAAAABACAAAAAiAAAAZHJzL2Rvd25yZXYu&#10;eG1sUEsBAhQAFAAAAAgAh07iQByW1grDAQAAdwMAAA4AAAAAAAAAAQAgAAAAJgEAAGRycy9lMm9E&#10;b2MueG1sUEsFBgAAAAAGAAYAWQEAAFsFA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028264D"/>
    <w:rsid w:val="010560E6"/>
    <w:rsid w:val="1CFB5557"/>
    <w:rsid w:val="1D900790"/>
    <w:rsid w:val="1E4A14A1"/>
    <w:rsid w:val="1EB97505"/>
    <w:rsid w:val="3DD479C1"/>
    <w:rsid w:val="544062A6"/>
    <w:rsid w:val="54895C16"/>
    <w:rsid w:val="5F1606FC"/>
    <w:rsid w:val="70E94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2022-10-22T05:59:51Z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530B4CC48DC043F287EADCD7B8341127</vt:lpwstr>
  </property>
  <property fmtid="{D5CDD505-2E9C-101B-9397-08002B2CF9AE}" pid="3" name="KSOProductBuildVer">
    <vt:lpwstr>2052-11.1.0.12598</vt:lpwstr>
  </property>
</Properties>
</file>