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3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山东广合数控机械有限公司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泰安市肥城市新城街道工业园区东付村项目区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泰安市肥城市新城街道工业园区东付村项目区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18678659385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1070048364@qq.com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孙涛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18678659385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1054-2022-QEO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Q：数控设备（激光切割机，等离子切割机，雕刻机，数控卷圆机）组装销售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E：数控设备（激光切割机，等离子切割机，雕刻机，数控卷圆机）组装销售所涉及场所的相关环境管理活动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O：数控设备（激光切割机，等离子切割机，雕刻机，数控卷圆机）组装销售所涉及场所的相关职业健康安全管理活动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Q：18.04.02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E：18.04.02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O：18.04.02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2022年09月27日相午至2022年09月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r>
              <w:rPr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</w:t>
            </w:r>
            <w:r>
              <w:rPr>
                <w:rFonts w:hint="eastAsia"/>
                <w:sz w:val="20"/>
              </w:rPr>
              <w:t>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李凤仪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2022-N1OHSMS-3031946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Q:18.04.02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E:18.04.02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O:18.04.02</w:t>
            </w: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13704036633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Align w:val="center"/>
          </w:tcPr>
          <w:p/>
        </w:tc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38" w:type="dxa"/>
            <w:gridSpan w:val="4"/>
            <w:vAlign w:val="center"/>
          </w:tcPr>
          <w:p/>
        </w:tc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924560" cy="372745"/>
                  <wp:effectExtent l="0" t="0" r="8890" b="8255"/>
                  <wp:docPr id="1" name="图片 1" descr="587f59e1f0486914f29f2163908e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87f59e1f0486914f29f2163908e5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300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13704036633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2022-9-26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2022-9-26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35" w:name="_GoBack"/>
      <w:bookmarkEnd w:id="35"/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7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678"/>
        <w:gridCol w:w="862"/>
        <w:gridCol w:w="5399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3" w:type="dxa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1678" w:type="dxa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时间</w:t>
            </w:r>
          </w:p>
        </w:tc>
        <w:tc>
          <w:tcPr>
            <w:tcW w:w="862" w:type="dxa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部门</w:t>
            </w:r>
          </w:p>
        </w:tc>
        <w:tc>
          <w:tcPr>
            <w:tcW w:w="5399" w:type="dxa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3" w:type="dxa"/>
          </w:tcPr>
          <w:p>
            <w:pPr>
              <w:spacing w:line="240" w:lineRule="exact"/>
              <w:rPr>
                <w:rFonts w:hint="default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78" w:type="dxa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13:00～13:30</w:t>
            </w:r>
          </w:p>
        </w:tc>
        <w:tc>
          <w:tcPr>
            <w:tcW w:w="6261" w:type="dxa"/>
            <w:gridSpan w:val="2"/>
          </w:tcPr>
          <w:p>
            <w:pPr>
              <w:spacing w:line="280" w:lineRule="exact"/>
              <w:ind w:firstLine="420" w:firstLineChars="200"/>
              <w:jc w:val="left"/>
              <w:rPr>
                <w:rFonts w:cs="Arial"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首次会议</w:t>
            </w:r>
          </w:p>
        </w:tc>
        <w:tc>
          <w:tcPr>
            <w:tcW w:w="1220" w:type="dxa"/>
          </w:tcPr>
          <w:p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243" w:type="dxa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78" w:type="dxa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13:30～17:00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28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管理层、员工代表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99" w:type="dxa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职业健康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职业健康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职业健康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安全目标及其实现的策划、Q6.3变更的策划、7.1.1（EO7.1）资源总则、9.3管理评审、10.1改进、10.3持续改进。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：标准/规范/法规的执行情况、一阶段审核不符合项的验证、投诉或事故、监督抽查情况；</w:t>
            </w:r>
            <w:r>
              <w:rPr>
                <w:rFonts w:hint="eastAsia" w:cs="Arial" w:asciiTheme="minorEastAsia" w:hAnsiTheme="minorEastAsia" w:eastAsiaTheme="minorEastAsia"/>
                <w:color w:val="auto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</w:tcPr>
          <w:p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1243" w:type="dxa"/>
          </w:tcPr>
          <w:p>
            <w:pPr>
              <w:spacing w:line="240" w:lineRule="exact"/>
              <w:rPr>
                <w:rFonts w:hint="default" w:cs="Arial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678" w:type="dxa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8:00～12:00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12:00～13:00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（午餐）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13:00～17:00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32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399" w:type="dxa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、9.1.3分析与评价、9.2 内部审核、10.2不合格和纠正措施。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</w:rPr>
              <w:t>8.2产品和服务的要求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9.2 内部审核、10.2不符合/事件和纠正措施，6.1.2环境因素/危险源的辨识与评价、6.1.3合规义务、6.1.4措施的策划、8.1运行策划和控制、9.1监视、测量、分析和评价（9.1.1总则、9.1.2合规性评价）、8.2应急准备和响应。</w:t>
            </w:r>
          </w:p>
        </w:tc>
        <w:tc>
          <w:tcPr>
            <w:tcW w:w="1220" w:type="dxa"/>
          </w:tcPr>
          <w:p>
            <w:pPr>
              <w:spacing w:line="240" w:lineRule="exact"/>
              <w:ind w:firstLine="210" w:firstLineChars="100"/>
              <w:rPr>
                <w:rFonts w:cs="Arial" w:asciiTheme="minorEastAsia" w:hAnsiTheme="minorEastAsia" w:eastAsiaTheme="minorEastAsia"/>
                <w:sz w:val="21"/>
                <w:szCs w:val="21"/>
                <w:u w:val="single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single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3" w:type="dxa"/>
          </w:tcPr>
          <w:p>
            <w:pPr>
              <w:spacing w:line="240" w:lineRule="exact"/>
              <w:rPr>
                <w:rFonts w:hint="default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678" w:type="dxa"/>
          </w:tcPr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8:00～12:00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12:00～13:00午餐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13:00～17:00</w:t>
            </w:r>
          </w:p>
          <w:p>
            <w:pPr>
              <w:spacing w:line="24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28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生技部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99" w:type="dxa"/>
          </w:tcPr>
          <w:p>
            <w:pPr>
              <w:spacing w:line="44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QMS:5.3组织的岗位、职责和权限、6.2质量目标、8.5.3顾客或外部供方的财产、9.1.2顾客满意、8.4外部提供过程、产品和服务的控制、7.1.3基础设施、7.1.4过程运行环境、7.1.5监视和测量资源、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8.1运行策划和控制、8.3产品和服务的设计和开发不适用确认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8.5.1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产品组装/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销售和服务提供的控制、8.5.2产品标识和可追朔性、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8.5.3顾客或外部供方财产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8.5.4产品防护、8.5.5交付后的活动、8.5.6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产品组装/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销售和服务提供的更改控制、8.6产品和服务的放行、8.7不合格输出的控制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</w:tcPr>
          <w:p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243" w:type="dxa"/>
          </w:tcPr>
          <w:p>
            <w:pPr>
              <w:spacing w:line="240" w:lineRule="exact"/>
              <w:rPr>
                <w:rFonts w:hint="default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78" w:type="dxa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:00～1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:30～1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pStyle w:val="2"/>
              <w:jc w:val="left"/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:30</w:t>
            </w:r>
            <w:r>
              <w:rPr>
                <w:rFonts w:hint="eastAsia"/>
                <w:sz w:val="21"/>
                <w:szCs w:val="21"/>
              </w:rPr>
              <w:t>～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6261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补充及跟踪审核：</w:t>
            </w:r>
          </w:p>
          <w:p>
            <w:pPr>
              <w:spacing w:line="280" w:lineRule="exact"/>
              <w:ind w:firstLine="420" w:firstLineChars="20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必要部门、必要条款；审核组内部沟通；审核组与受审核方领导层沟通；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</w:tcPr>
          <w:p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A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7E3346"/>
    <w:rsid w:val="001B4FFC"/>
    <w:rsid w:val="003B4E94"/>
    <w:rsid w:val="003F5D46"/>
    <w:rsid w:val="00580F8B"/>
    <w:rsid w:val="007E3346"/>
    <w:rsid w:val="00A64213"/>
    <w:rsid w:val="00D3555D"/>
    <w:rsid w:val="00DD37C4"/>
    <w:rsid w:val="132F1FBB"/>
    <w:rsid w:val="1D440DCB"/>
    <w:rsid w:val="1E8E0BAA"/>
    <w:rsid w:val="2C9C5D59"/>
    <w:rsid w:val="59BF36EF"/>
    <w:rsid w:val="68903F27"/>
    <w:rsid w:val="6ABB2AB5"/>
    <w:rsid w:val="7FF727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1018</Words>
  <Characters>1397</Characters>
  <Lines>40</Lines>
  <Paragraphs>11</Paragraphs>
  <TotalTime>1</TotalTime>
  <ScaleCrop>false</ScaleCrop>
  <LinksUpToDate>false</LinksUpToDate>
  <CharactersWithSpaces>1447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2022-10-10T03:51:35Z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