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1DE" w:themeFill="accent3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100"/>
        <w:gridCol w:w="674"/>
        <w:gridCol w:w="71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20" w:type="dxa"/>
            <w:vMerge w:val="restart"/>
            <w:shd w:val="clear" w:color="auto" w:fill="EBF1DE" w:themeFill="accent3" w:themeFillTint="32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00" w:type="dxa"/>
            <w:vMerge w:val="restart"/>
            <w:shd w:val="clear" w:color="auto" w:fill="EBF1DE" w:themeFill="accent3" w:themeFillTint="3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3"/>
            <w:shd w:val="clear" w:color="auto" w:fill="EBF1DE" w:themeFill="accent3" w:themeFillTint="3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品控部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马雨杰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叶雪峰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20" w:type="dxa"/>
            <w:vMerge w:val="continue"/>
            <w:shd w:val="clear" w:color="auto" w:fill="EBF1DE" w:themeFill="accent3" w:themeFillTint="32"/>
            <w:vAlign w:val="center"/>
          </w:tcPr>
          <w:p/>
        </w:tc>
        <w:tc>
          <w:tcPr>
            <w:tcW w:w="1100" w:type="dxa"/>
            <w:vMerge w:val="continue"/>
            <w:shd w:val="clear" w:color="auto" w:fill="EBF1DE" w:themeFill="accent3" w:themeFillTint="32"/>
            <w:vAlign w:val="center"/>
          </w:tcPr>
          <w:p/>
        </w:tc>
        <w:tc>
          <w:tcPr>
            <w:tcW w:w="10004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肖新龙 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2022-10-16上午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vMerge w:val="continue"/>
            <w:shd w:val="clear" w:color="auto" w:fill="EBF1DE" w:themeFill="accent3" w:themeFillTint="32"/>
            <w:vAlign w:val="center"/>
          </w:tcPr>
          <w:p/>
        </w:tc>
        <w:tc>
          <w:tcPr>
            <w:tcW w:w="1100" w:type="dxa"/>
            <w:vMerge w:val="continue"/>
            <w:shd w:val="clear" w:color="auto" w:fill="EBF1DE" w:themeFill="accent3" w:themeFillTint="32"/>
            <w:vAlign w:val="center"/>
          </w:tcPr>
          <w:p/>
        </w:tc>
        <w:tc>
          <w:tcPr>
            <w:tcW w:w="10004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H:2.4.2/2.5.1/3.6/3.7/3.8/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4.5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/5.1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20" w:type="dxa"/>
            <w:vMerge w:val="restart"/>
            <w:shd w:val="clear" w:color="auto" w:fill="EBF1DE" w:themeFill="accent3" w:themeFillTint="32"/>
            <w:vAlign w:val="top"/>
          </w:tcPr>
          <w:p>
            <w:r>
              <w:rPr>
                <w:rFonts w:hint="eastAsia"/>
                <w:color w:val="000000"/>
                <w:szCs w:val="21"/>
              </w:rPr>
              <w:t>部门职责</w:t>
            </w:r>
          </w:p>
        </w:tc>
        <w:tc>
          <w:tcPr>
            <w:tcW w:w="1100" w:type="dxa"/>
            <w:vMerge w:val="restart"/>
            <w:shd w:val="clear" w:color="auto" w:fill="EBF1DE" w:themeFill="accent3" w:themeFillTint="32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H (V1.0)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2.5.1</w:t>
            </w:r>
          </w:p>
        </w:tc>
        <w:tc>
          <w:tcPr>
            <w:tcW w:w="745" w:type="dxa"/>
            <w:gridSpan w:val="2"/>
            <w:shd w:val="clear" w:color="auto" w:fill="EBF1DE" w:themeFill="accent3" w:themeFillTint="32"/>
            <w:vAlign w:val="top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BF1DE" w:themeFill="accent3" w:themeFillTint="32"/>
            <w:vAlign w:val="top"/>
          </w:tcPr>
          <w:p>
            <w:r>
              <w:rPr>
                <w:rFonts w:hint="eastAsia"/>
              </w:rPr>
              <w:t>如</w:t>
            </w:r>
            <w:r>
              <w:rPr>
                <w:rFonts w:hint="eastAsia"/>
                <w:lang w:eastAsia="zh-CN"/>
              </w:rPr>
              <w:t>：</w:t>
            </w:r>
            <w:r>
              <w:rPr/>
              <w:sym w:font="Wingdings" w:char="00FE"/>
            </w:r>
            <w:r>
              <w:rPr>
                <w:rFonts w:hint="eastAsia"/>
              </w:rPr>
              <w:t>《管理手册》第</w:t>
            </w:r>
            <w:r>
              <w:rPr>
                <w:rFonts w:hint="eastAsia"/>
                <w:lang w:val="en-US" w:eastAsia="zh-CN"/>
              </w:rPr>
              <w:t>0.4.1</w:t>
            </w:r>
            <w:r>
              <w:rPr>
                <w:rFonts w:hint="eastAsia"/>
              </w:rPr>
              <w:t>条款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  <w:vAlign w:val="top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20" w:type="dxa"/>
            <w:vMerge w:val="continue"/>
            <w:shd w:val="clear" w:color="auto" w:fill="EBF1DE" w:themeFill="accent3" w:themeFillTint="32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1100" w:type="dxa"/>
            <w:vMerge w:val="continue"/>
            <w:shd w:val="clear" w:color="auto" w:fill="EBF1DE" w:themeFill="accent3" w:themeFillTint="32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gridSpan w:val="2"/>
            <w:shd w:val="clear" w:color="auto" w:fill="EBF1DE" w:themeFill="accent3" w:themeFillTint="32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EBF1DE" w:themeFill="accent3" w:themeFillTint="32"/>
            <w:vAlign w:val="top"/>
          </w:tcPr>
          <w:p>
            <w:pPr>
              <w:spacing w:line="4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主要负责本部门体系文件的管理、负责生产区域过程的监督检查、负责原料验收、成品出厂检验、负责、参与食品安全小组活动、包括确认验证等；负责不安全产品的处理、参与应急、撤回/召回演练等。</w:t>
            </w:r>
            <w:r>
              <w:rPr>
                <w:rFonts w:hint="eastAsia"/>
                <w:u w:val="single"/>
                <w:lang w:val="en-US" w:eastAsia="zh-CN"/>
              </w:rPr>
              <w:t>询问相关负责人，审核周期内本部门职责未发生变化，人</w:t>
            </w:r>
            <w:bookmarkStart w:id="0" w:name="_GoBack"/>
            <w:bookmarkEnd w:id="0"/>
            <w:r>
              <w:rPr>
                <w:rFonts w:hint="eastAsia"/>
                <w:u w:val="single"/>
                <w:lang w:val="en-US" w:eastAsia="zh-CN"/>
              </w:rPr>
              <w:t>员未发生变化。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目标</w:t>
            </w:r>
          </w:p>
        </w:tc>
        <w:tc>
          <w:tcPr>
            <w:tcW w:w="1100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H(V1.0)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2.4.2  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674" w:type="dxa"/>
            <w:shd w:val="clear" w:color="auto" w:fill="EBF1DE" w:themeFill="accent3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</w:rPr>
              <w:t>HACCP</w:t>
            </w:r>
            <w:r>
              <w:rPr>
                <w:rFonts w:hint="eastAsia"/>
                <w:highlight w:val="none"/>
                <w:lang w:val="en-US" w:eastAsia="zh-CN"/>
              </w:rPr>
              <w:t>管理</w:t>
            </w:r>
            <w:r>
              <w:rPr>
                <w:rFonts w:hint="eastAsia"/>
                <w:highlight w:val="none"/>
              </w:rPr>
              <w:t>手册</w:t>
            </w:r>
            <w:r>
              <w:rPr>
                <w:rFonts w:hint="eastAsia"/>
                <w:highlight w:val="none"/>
                <w:lang w:eastAsia="zh-CN"/>
              </w:rPr>
              <w:t>》</w:t>
            </w:r>
            <w:r>
              <w:rPr>
                <w:rFonts w:hint="eastAsia"/>
                <w:highlight w:val="none"/>
                <w:lang w:val="en-US" w:eastAsia="zh-CN"/>
              </w:rPr>
              <w:t>第2.4条款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highlight w:val="yellow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continue"/>
            <w:shd w:val="clear" w:color="auto" w:fill="EBF1DE" w:themeFill="accent3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1100" w:type="dxa"/>
            <w:vMerge w:val="continue"/>
            <w:shd w:val="clear" w:color="auto" w:fill="EBF1DE" w:themeFill="accent3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674" w:type="dxa"/>
            <w:shd w:val="clear" w:color="auto" w:fill="EBF1DE" w:themeFill="accent3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组织建立了与食品安全方针一致、与合规义务相适宜的文件化的食品安全目标。为实现总食品安全目标而建立的各层级食品安全目标具体、有针对性、可测量并且可实现。</w:t>
            </w:r>
          </w:p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本部门分解</w:t>
            </w:r>
            <w:r>
              <w:rPr>
                <w:rFonts w:hint="eastAsia"/>
                <w:highlight w:val="none"/>
              </w:rPr>
              <w:t>的食品安全目标实现情况的评价，及其测量方法是：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217"/>
              <w:gridCol w:w="21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食品安全目标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计算方法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2196" w:type="dxa"/>
                  <w:shd w:val="clear" w:color="auto" w:fill="auto"/>
                </w:tcPr>
                <w:p>
                  <w:pPr>
                    <w:spacing w:line="440" w:lineRule="exact"/>
                    <w:jc w:val="left"/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目标实际完成</w:t>
                  </w:r>
                </w:p>
                <w:p>
                  <w:pPr>
                    <w:spacing w:line="440" w:lineRule="exact"/>
                    <w:jc w:val="left"/>
                    <w:rPr>
                      <w:rFonts w:hint="default" w:ascii="宋体" w:hAnsi="宋体" w:eastAsia="宋体" w:cs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highlight w:val="none"/>
                      <w:lang w:val="en-US" w:eastAsia="zh-CN"/>
                    </w:rPr>
                    <w:t>（2021.0</w:t>
                  </w:r>
                  <w:r>
                    <w:rPr>
                      <w:rFonts w:hint="eastAsia" w:ascii="宋体" w:hAnsi="宋体" w:cs="宋体"/>
                      <w:szCs w:val="21"/>
                      <w:highlight w:val="none"/>
                      <w:lang w:val="en-US" w:eastAsia="zh-CN"/>
                    </w:rPr>
                    <w:t>9-2022.08）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无重大食物安全事故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GB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按照有关规定属重大食物安全事故的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196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 w:eastAsia="宋体"/>
                      <w:highlight w:val="none"/>
                      <w:lang w:val="en-GB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出厂产品检验合格率100%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已检合格批次/检验批次*100%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196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计量器具送检率100％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已送检数量/需送检数量*100%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196" w:type="dxa"/>
                  <w:shd w:val="clear" w:color="auto" w:fill="auto"/>
                  <w:vAlign w:val="top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采购产品到货合格率95％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合格产品批次/订货批次*100%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196" w:type="dxa"/>
                  <w:shd w:val="clear" w:color="auto" w:fill="auto"/>
                  <w:vAlign w:val="top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市场抽检合格率100％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市场抽检合格次数/市场抽检次数*100%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品控部</w:t>
                  </w:r>
                </w:p>
              </w:tc>
              <w:tc>
                <w:tcPr>
                  <w:tcW w:w="2196" w:type="dxa"/>
                  <w:shd w:val="clear" w:color="auto" w:fill="auto"/>
                  <w:vAlign w:val="top"/>
                </w:tcPr>
                <w:p>
                  <w:pPr>
                    <w:spacing w:line="240" w:lineRule="auto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</w:tbl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目标已实现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restart"/>
            <w:shd w:val="clear" w:color="auto" w:fill="EBF1DE" w:themeFill="accent3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监视和测量</w:t>
            </w:r>
          </w:p>
        </w:tc>
        <w:tc>
          <w:tcPr>
            <w:tcW w:w="1100" w:type="dxa"/>
            <w:vMerge w:val="restart"/>
            <w:shd w:val="clear" w:color="auto" w:fill="EBF1DE" w:themeFill="accent3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H(V1.0）</w:t>
            </w:r>
            <w:r>
              <w:rPr>
                <w:rFonts w:hint="eastAsia"/>
                <w:highlight w:val="none"/>
              </w:rPr>
              <w:t xml:space="preserve">3.6 </w:t>
            </w:r>
          </w:p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《监视和测量控制程序》、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HACCP管理</w:t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第3.6条款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continue"/>
            <w:shd w:val="clear" w:color="auto" w:fill="EBF1DE" w:themeFill="accent3" w:themeFillTint="32"/>
          </w:tcPr>
          <w:p/>
        </w:tc>
        <w:tc>
          <w:tcPr>
            <w:tcW w:w="1100" w:type="dxa"/>
            <w:vMerge w:val="continue"/>
            <w:shd w:val="clear" w:color="auto" w:fill="EBF1DE" w:themeFill="accent3" w:themeFillTint="32"/>
          </w:tcPr>
          <w:p/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t>准确识别</w:t>
            </w:r>
            <w:r>
              <w:rPr>
                <w:rFonts w:hint="eastAsia"/>
                <w:color w:val="000000"/>
                <w:szCs w:val="21"/>
              </w:rPr>
              <w:t xml:space="preserve">监视和测量资源种类：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计量器具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监视设备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服务工作检查表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定期验证的计划，频次：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不适用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服务工作检查表：</w:t>
            </w:r>
            <w:r>
              <w:rPr>
                <w:rFonts w:hint="eastAsia"/>
                <w:lang w:val="en-US" w:eastAsia="zh-CN"/>
              </w:rPr>
              <w:t>不适用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使用前确认内容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定期确认内容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pStyle w:val="2"/>
            </w:pPr>
          </w:p>
          <w:p>
            <w:r>
              <w:rPr>
                <w:rFonts w:hint="eastAsia"/>
              </w:rPr>
              <w:t>查看《计量器具台账》，抽查外部检定或校准情况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1739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检定或校准证书编号</w:t>
                  </w:r>
                </w:p>
              </w:tc>
              <w:tc>
                <w:tcPr>
                  <w:tcW w:w="1739" w:type="dxa"/>
                </w:tcPr>
                <w:p>
                  <w:r>
                    <w:rPr>
                      <w:rFonts w:hint="eastAsia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电子温度计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RX-2210000015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2023-10-07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比重计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LX-2210001183</w:t>
                  </w:r>
                </w:p>
              </w:tc>
              <w:tc>
                <w:tcPr>
                  <w:tcW w:w="173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2023-10-07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恒温培养箱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WSD-2022030135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2023-03-14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安全阀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AJL202145154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2022-10-25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电子天平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LP-2022030095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2023-03-14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电接点压力表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521005761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2022-12-14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双金属温度计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RW-2022040055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2023-04-23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电子计价秤（ACS-30kg）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LH-2021110002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2022-10-31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安全阀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AJL202240047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2023-01-06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砝码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LP-2021110002</w:t>
                  </w: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2022-11-03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39" w:type="dxa"/>
                </w:tcPr>
                <w:p>
                  <w:pPr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923" w:type="dxa"/>
                </w:tcPr>
                <w:p>
                  <w:pPr>
                    <w:rPr>
                      <w:rFonts w:hint="eastAsia"/>
                      <w:color w:val="FF0000"/>
                      <w:highlight w:val="none"/>
                    </w:rPr>
                  </w:pPr>
                </w:p>
              </w:tc>
            </w:tr>
          </w:tbl>
          <w:p/>
          <w:p>
            <w:pPr>
              <w:pStyle w:val="2"/>
            </w:pPr>
          </w:p>
          <w:p>
            <w:r>
              <w:rPr>
                <w:rFonts w:hint="eastAsia"/>
              </w:rPr>
              <w:t>抽查内部校准情况；抽查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台秤（电子秤）校准规范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highlight w:val="none"/>
              </w:rPr>
              <w:t xml:space="preserve">》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温度计自交规程</w:t>
            </w:r>
            <w:r>
              <w:rPr>
                <w:rFonts w:hint="eastAsia"/>
                <w:highlight w:val="none"/>
              </w:rPr>
              <w:t xml:space="preserve">》 </w:t>
            </w:r>
            <w:r>
              <w:rPr>
                <w:rFonts w:hint="eastAsia"/>
              </w:rPr>
              <w:t xml:space="preserve"> 《校准记录》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校准日期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腌制池温度计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2022-09-15</w:t>
                  </w:r>
                </w:p>
              </w:tc>
              <w:tc>
                <w:tcPr>
                  <w:tcW w:w="2626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03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腌制池温度计</w:t>
                  </w:r>
                </w:p>
              </w:tc>
              <w:tc>
                <w:tcPr>
                  <w:tcW w:w="224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2022-04-15</w:t>
                  </w: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03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TCS 电子秤</w:t>
                  </w:r>
                </w:p>
              </w:tc>
              <w:tc>
                <w:tcPr>
                  <w:tcW w:w="22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2022-07-15</w:t>
                  </w:r>
                </w:p>
              </w:tc>
              <w:tc>
                <w:tcPr>
                  <w:tcW w:w="26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203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车间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实验室</w:t>
                  </w:r>
                </w:p>
              </w:tc>
            </w:tr>
          </w:tbl>
          <w:p/>
          <w:p>
            <w:pPr>
              <w:pStyle w:val="2"/>
            </w:pPr>
          </w:p>
          <w:p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</w:tbl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标准溶液控制：</w:t>
            </w:r>
            <w:r>
              <w:rPr>
                <w:rFonts w:hint="eastAsia"/>
                <w:lang w:val="en-US" w:eastAsia="zh-CN"/>
              </w:rPr>
              <w:t>不适用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r>
                    <w:rPr>
                      <w:rFonts w:hint="eastAsia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r>
                    <w:rPr>
                      <w:rFonts w:hint="eastAsia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r>
                    <w:rPr>
                      <w:rFonts w:hint="eastAsia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/>
          <w:p/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2020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产品放行</w:t>
            </w:r>
          </w:p>
        </w:tc>
        <w:tc>
          <w:tcPr>
            <w:tcW w:w="1100" w:type="dxa"/>
            <w:shd w:val="clear" w:color="auto" w:fill="EBF1DE" w:themeFill="accent3" w:themeFillTint="32"/>
          </w:tcPr>
          <w:p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 xml:space="preserve">3.8  </w:t>
            </w:r>
          </w:p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如：《产品检验控制程序》或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《产品放行控制程序》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《产品放行控制程序》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原辅料验收操作规程</w:t>
            </w:r>
            <w:r>
              <w:rPr>
                <w:rFonts w:hint="eastAsia"/>
                <w:lang w:eastAsia="zh-CN"/>
              </w:rPr>
              <w:t>》</w:t>
            </w:r>
          </w:p>
          <w:p>
            <w:r>
              <w:rPr>
                <w:rFonts w:hint="eastAsia"/>
              </w:rPr>
              <w:t>执行标准（接收准则）：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2668"/>
              <w:gridCol w:w="3135"/>
              <w:gridCol w:w="19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放行类型</w:t>
                  </w:r>
                </w:p>
              </w:tc>
              <w:tc>
                <w:tcPr>
                  <w:tcW w:w="2668" w:type="dxa"/>
                </w:tcPr>
                <w:p>
                  <w:r>
                    <w:rPr>
                      <w:rFonts w:hint="eastAsia"/>
                    </w:rPr>
                    <w:t>抽样要求</w:t>
                  </w:r>
                </w:p>
              </w:tc>
              <w:tc>
                <w:tcPr>
                  <w:tcW w:w="3135" w:type="dxa"/>
                </w:tcPr>
                <w:p>
                  <w:r>
                    <w:rPr>
                      <w:rFonts w:hint="eastAsia"/>
                    </w:rPr>
                    <w:t>执行标准或规范文件名称</w:t>
                  </w:r>
                </w:p>
              </w:tc>
              <w:tc>
                <w:tcPr>
                  <w:tcW w:w="1906" w:type="dxa"/>
                </w:tcPr>
                <w:p>
                  <w:r>
                    <w:rPr>
                      <w:rFonts w:hint="eastAsia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原材料检验</w:t>
                  </w:r>
                </w:p>
              </w:tc>
              <w:tc>
                <w:tcPr>
                  <w:tcW w:w="266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50件以下抽检2%，＞50见抽检1%</w:t>
                  </w:r>
                </w:p>
              </w:tc>
              <w:tc>
                <w:tcPr>
                  <w:tcW w:w="313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原辅材料、包装材料检验规范</w:t>
                  </w:r>
                </w:p>
              </w:tc>
              <w:tc>
                <w:tcPr>
                  <w:tcW w:w="190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半成品首检</w:t>
                  </w:r>
                </w:p>
              </w:tc>
              <w:tc>
                <w:tcPr>
                  <w:tcW w:w="266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每批次</w:t>
                  </w:r>
                </w:p>
              </w:tc>
              <w:tc>
                <w:tcPr>
                  <w:tcW w:w="3135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主要以感官检验为主</w:t>
                  </w:r>
                </w:p>
              </w:tc>
              <w:tc>
                <w:tcPr>
                  <w:tcW w:w="190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半成品检验</w:t>
                  </w:r>
                </w:p>
              </w:tc>
              <w:tc>
                <w:tcPr>
                  <w:tcW w:w="266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随机抽取</w:t>
                  </w:r>
                </w:p>
              </w:tc>
              <w:tc>
                <w:tcPr>
                  <w:tcW w:w="313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主要以感官检验为主</w:t>
                  </w:r>
                </w:p>
              </w:tc>
              <w:tc>
                <w:tcPr>
                  <w:tcW w:w="19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成品检验</w:t>
                  </w:r>
                </w:p>
              </w:tc>
              <w:tc>
                <w:tcPr>
                  <w:tcW w:w="266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随机抽取</w:t>
                  </w:r>
                </w:p>
              </w:tc>
              <w:tc>
                <w:tcPr>
                  <w:tcW w:w="313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Q/DMS0001S-2020标准执行</w:t>
                  </w:r>
                </w:p>
              </w:tc>
              <w:tc>
                <w:tcPr>
                  <w:tcW w:w="19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服务放行</w:t>
                  </w:r>
                </w:p>
              </w:tc>
              <w:tc>
                <w:tcPr>
                  <w:tcW w:w="2668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3135" w:type="dxa"/>
                </w:tcPr>
                <w:p/>
              </w:tc>
              <w:tc>
                <w:tcPr>
                  <w:tcW w:w="190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</w:tbl>
          <w:p/>
        </w:tc>
        <w:tc>
          <w:tcPr>
            <w:tcW w:w="1585" w:type="dxa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shd w:val="clear" w:color="auto" w:fill="EBF1DE" w:themeFill="accent3" w:themeFillTint="32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产品放行</w:t>
            </w:r>
          </w:p>
        </w:tc>
        <w:tc>
          <w:tcPr>
            <w:tcW w:w="1100" w:type="dxa"/>
            <w:shd w:val="clear" w:color="auto" w:fill="EBF1DE" w:themeFill="accent3" w:themeFillTint="32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 xml:space="preserve">3.8  </w:t>
            </w:r>
          </w:p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/>
          <w:p>
            <w:r>
              <w:rPr>
                <w:rFonts w:hint="eastAsia"/>
              </w:rPr>
              <w:t>放行包括：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服务放行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抽取原材料检验相关记录名称：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原料验收记录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255"/>
              <w:gridCol w:w="1275"/>
              <w:gridCol w:w="2002"/>
              <w:gridCol w:w="2618"/>
              <w:gridCol w:w="1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255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1275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2002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2618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112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2022-09-06</w:t>
                  </w:r>
                </w:p>
              </w:tc>
              <w:tc>
                <w:tcPr>
                  <w:tcW w:w="125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50kg精制盐/2022-09-06</w:t>
                  </w: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0.3%</w:t>
                  </w:r>
                </w:p>
              </w:tc>
              <w:tc>
                <w:tcPr>
                  <w:tcW w:w="2002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合格供方采购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规格型号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塑料外袋、内袋包装完整，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外观：干燥松散、结拜，有光泽，无明显黑点、杂质，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气味及滋味：咸味、无异味</w:t>
                  </w:r>
                </w:p>
              </w:tc>
              <w:tc>
                <w:tcPr>
                  <w:tcW w:w="2618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符合要求</w:t>
                  </w:r>
                </w:p>
              </w:tc>
              <w:tc>
                <w:tcPr>
                  <w:tcW w:w="112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2022-10-05</w:t>
                  </w:r>
                </w:p>
              </w:tc>
              <w:tc>
                <w:tcPr>
                  <w:tcW w:w="125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鲜蛋</w:t>
                  </w: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抽取10筐（进货1300筐），要求抽取进货量的1%，已与企业沟通</w:t>
                  </w:r>
                </w:p>
              </w:tc>
              <w:tc>
                <w:tcPr>
                  <w:tcW w:w="200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感官、重量、破蛋数量</w:t>
                  </w:r>
                </w:p>
              </w:tc>
              <w:tc>
                <w:tcPr>
                  <w:tcW w:w="261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感官：新鲜、蛋壳表面光洁、蛋清澄清透明，无异味；重量：28斤/筐，破蛋数量3.1斤，破蛋比例1.11%</w:t>
                  </w:r>
                </w:p>
              </w:tc>
              <w:tc>
                <w:tcPr>
                  <w:tcW w:w="112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2022-03-19</w:t>
                  </w:r>
                </w:p>
              </w:tc>
              <w:tc>
                <w:tcPr>
                  <w:tcW w:w="1255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咸鸭蛋袋子</w:t>
                  </w: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10%</w:t>
                  </w:r>
                </w:p>
              </w:tc>
              <w:tc>
                <w:tcPr>
                  <w:tcW w:w="2002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合格供方；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规格型号；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产品包装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感官：无刮伤、褶皱等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数量；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标签：品名、执行标准、生产厂家等</w:t>
                  </w:r>
                </w:p>
              </w:tc>
              <w:tc>
                <w:tcPr>
                  <w:tcW w:w="261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符合要求</w:t>
                  </w:r>
                </w:p>
              </w:tc>
              <w:tc>
                <w:tcPr>
                  <w:tcW w:w="112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2022-09-18批次2.5kg袋子、2022-05-12批次1.04kg袋子、2022-01-04批次2.5kg蛋黄袋子、2021-12-15批次2.5kg蛋黄袋子2021-11-02批次840g蛋黄袋子，结论：符合要求。</w:t>
            </w:r>
          </w:p>
          <w:p/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另抽取2022.09.26批次鲜蛋、2022.02.28批次鲜蛋2022.10.05批次鲜蛋，同2022-10-05批次鲜蛋控制方式；另抽取2022-07-14、2022-03-10、2021-12-05批次食用盐，控制方式同上</w:t>
            </w:r>
          </w:p>
          <w:p>
            <w:pPr>
              <w:pStyle w:val="2"/>
              <w:rPr>
                <w:rFonts w:hint="eastAsia"/>
                <w:highlight w:val="cyan"/>
                <w:lang w:val="en-US" w:eastAsia="zh-CN"/>
              </w:rPr>
            </w:pPr>
          </w:p>
          <w:p>
            <w:pPr>
              <w:rPr>
                <w:rFonts w:hint="eastAsia"/>
                <w:color w:val="FF0000"/>
                <w:highlight w:val="none"/>
                <w:u w:val="single"/>
              </w:rPr>
            </w:pPr>
            <w:r>
              <w:rPr>
                <w:rFonts w:hint="eastAsia"/>
                <w:color w:val="FF0000"/>
                <w:highlight w:val="none"/>
                <w:u w:val="single"/>
              </w:rPr>
              <w:t>2022-01-17批次哑巴蛋，有验收记录，但未提供相应的验收要求/规程。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抽取半成品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腌制过程检查记录</w:t>
            </w:r>
            <w:r>
              <w:rPr>
                <w:rFonts w:hint="eastAsia"/>
                <w:u w:val="single"/>
              </w:rPr>
              <w:t xml:space="preserve"> 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2"/>
              <w:gridCol w:w="1565"/>
              <w:gridCol w:w="1364"/>
              <w:gridCol w:w="1398"/>
              <w:gridCol w:w="1848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2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5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398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848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2022-09-26</w:t>
                  </w:r>
                </w:p>
              </w:tc>
              <w:tc>
                <w:tcPr>
                  <w:tcW w:w="1565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盐水腌制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3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蛋黄透心度</w:t>
                  </w:r>
                </w:p>
              </w:tc>
              <w:tc>
                <w:tcPr>
                  <w:tcW w:w="18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可以使用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2022-08-15</w:t>
                  </w:r>
                </w:p>
              </w:tc>
              <w:tc>
                <w:tcPr>
                  <w:tcW w:w="156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盐水腌制</w:t>
                  </w: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39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蛋黄透心度</w:t>
                  </w:r>
                </w:p>
              </w:tc>
              <w:tc>
                <w:tcPr>
                  <w:tcW w:w="184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继续腌制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抽取成品</w:t>
            </w:r>
            <w:r>
              <w:rPr>
                <w:rFonts w:hint="eastAsia"/>
                <w:b/>
                <w:bCs/>
                <w:highlight w:val="none"/>
              </w:rPr>
              <w:t>检验</w:t>
            </w:r>
            <w:r>
              <w:rPr>
                <w:rFonts w:hint="eastAsia"/>
                <w:highlight w:val="none"/>
              </w:rPr>
              <w:t>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出厂检验报告</w:t>
            </w:r>
            <w:r>
              <w:rPr>
                <w:rFonts w:hint="eastAsia"/>
                <w:highlight w:val="none"/>
                <w:u w:val="single"/>
              </w:rPr>
              <w:t>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337"/>
              <w:gridCol w:w="1013"/>
              <w:gridCol w:w="2407"/>
              <w:gridCol w:w="1733"/>
              <w:gridCol w:w="17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3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成品名称/批次</w:t>
                  </w:r>
                </w:p>
              </w:tc>
              <w:tc>
                <w:tcPr>
                  <w:tcW w:w="101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240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73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767" w:type="dxa"/>
                  <w:vMerge w:val="restart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2022-10-15</w:t>
                  </w:r>
                </w:p>
              </w:tc>
              <w:tc>
                <w:tcPr>
                  <w:tcW w:w="1337" w:type="dxa"/>
                  <w:vMerge w:val="restart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咸蛋黄/2022-10-13</w:t>
                  </w:r>
                </w:p>
              </w:tc>
              <w:tc>
                <w:tcPr>
                  <w:tcW w:w="1013" w:type="dxa"/>
                  <w:vMerge w:val="restart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按照Q/DMS 0001S-2022标准执行</w:t>
                  </w:r>
                </w:p>
              </w:tc>
              <w:tc>
                <w:tcPr>
                  <w:tcW w:w="240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标签：符合GB7718标准要求</w:t>
                  </w:r>
                </w:p>
              </w:tc>
              <w:tc>
                <w:tcPr>
                  <w:tcW w:w="1733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符合要求</w:t>
                  </w:r>
                </w:p>
                <w:p>
                  <w:pPr>
                    <w:pStyle w:val="2"/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76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3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1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色泽：应具有该产品正常的色泽</w:t>
                  </w:r>
                </w:p>
              </w:tc>
              <w:tc>
                <w:tcPr>
                  <w:tcW w:w="173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bCs/>
                      <w:color w:val="auto"/>
                      <w:spacing w:val="1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符合要求</w:t>
                  </w:r>
                </w:p>
              </w:tc>
              <w:tc>
                <w:tcPr>
                  <w:tcW w:w="178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76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3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1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组织形态：应具有该产品正常的形状、邢台、无酸败、霉变、生虫及其他危害食品安全的异物、</w:t>
                  </w:r>
                </w:p>
              </w:tc>
              <w:tc>
                <w:tcPr>
                  <w:tcW w:w="173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bCs/>
                      <w:color w:val="auto"/>
                      <w:spacing w:val="1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符合要求</w:t>
                  </w:r>
                </w:p>
              </w:tc>
              <w:tc>
                <w:tcPr>
                  <w:tcW w:w="178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76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3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1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滋气味：应具有该产品正常的滋味、气味，无异味</w:t>
                  </w:r>
                </w:p>
              </w:tc>
              <w:tc>
                <w:tcPr>
                  <w:tcW w:w="173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Cs/>
                      <w:color w:val="auto"/>
                      <w:spacing w:val="1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符合要求</w:t>
                  </w:r>
                </w:p>
              </w:tc>
              <w:tc>
                <w:tcPr>
                  <w:tcW w:w="178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76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3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1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杂质：无肉眼可见外来杂质</w:t>
                  </w:r>
                </w:p>
              </w:tc>
              <w:tc>
                <w:tcPr>
                  <w:tcW w:w="173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bCs/>
                      <w:color w:val="auto"/>
                      <w:spacing w:val="1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符合要求</w:t>
                  </w:r>
                </w:p>
              </w:tc>
              <w:tc>
                <w:tcPr>
                  <w:tcW w:w="178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atLeast"/>
              </w:trPr>
              <w:tc>
                <w:tcPr>
                  <w:tcW w:w="76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37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13" w:type="dxa"/>
                  <w:vMerge w:val="continue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07" w:type="dxa"/>
                </w:tcPr>
                <w:p>
                  <w:pP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净含量：1.04kg（符合JJF1070中规定要求）</w:t>
                  </w:r>
                </w:p>
              </w:tc>
              <w:tc>
                <w:tcPr>
                  <w:tcW w:w="1733" w:type="dxa"/>
                </w:tcPr>
                <w:p>
                  <w:pPr>
                    <w:pStyle w:val="2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1.71kg（报告中不够明确，原始检验记录明确，已与企业沟））</w:t>
                  </w:r>
                </w:p>
              </w:tc>
              <w:tc>
                <w:tcPr>
                  <w:tcW w:w="1786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atLeast"/>
              </w:trPr>
              <w:tc>
                <w:tcPr>
                  <w:tcW w:w="9043" w:type="dxa"/>
                  <w:gridSpan w:val="6"/>
                </w:tcPr>
                <w:p>
                  <w:pPr>
                    <w:rPr>
                      <w:rFonts w:hint="eastAsia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u w:val="single"/>
                      <w:lang w:val="en-US" w:eastAsia="zh-CN"/>
                    </w:rPr>
                    <w:t>另抽查20211227批次的咸蛋黄、2021-11-29批次的咸蛋黄、2022-01-20批次咸蛋黄、2022-02-15批次咸蛋黄、2022-09-09批次咸蛋黄、2022-09-01批次咸蛋黄、2022-09-15批次咸蛋黄、控制方式同上。</w:t>
                  </w:r>
                </w:p>
                <w:p>
                  <w:pPr>
                    <w:pStyle w:val="2"/>
                    <w:rPr>
                      <w:rFonts w:hint="default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2022-07-26</w:t>
                  </w:r>
                </w:p>
              </w:tc>
              <w:tc>
                <w:tcPr>
                  <w:tcW w:w="133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咸鸭蛋/2022-07-24</w:t>
                  </w:r>
                </w:p>
              </w:tc>
              <w:tc>
                <w:tcPr>
                  <w:tcW w:w="101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按照Q/DMS 0001S-2022标准执行</w:t>
                  </w:r>
                </w:p>
              </w:tc>
              <w:tc>
                <w:tcPr>
                  <w:tcW w:w="2407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感官：产品该有的正常的色泽、气味、形态，</w:t>
                  </w:r>
                </w:p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无肉眼可见外来杂质；</w:t>
                  </w:r>
                </w:p>
                <w:p>
                  <w:pPr>
                    <w:pStyle w:val="2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净含量：60g</w:t>
                  </w:r>
                </w:p>
                <w:p>
                  <w:pPr>
                    <w:pStyle w:val="2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菌落总数CFU/g：n=5,c=2,m=10</w:t>
                  </w:r>
                  <w:r>
                    <w:rPr>
                      <w:rFonts w:hint="eastAsia"/>
                      <w:highlight w:val="none"/>
                      <w:vertAlign w:val="superscript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,M=10</w:t>
                  </w:r>
                  <w:r>
                    <w:rPr>
                      <w:rFonts w:hint="eastAsia"/>
                      <w:highlight w:val="none"/>
                      <w:vertAlign w:val="superscript"/>
                      <w:lang w:val="en-US" w:eastAsia="zh-CN"/>
                    </w:rPr>
                    <w:t>5</w:t>
                  </w:r>
                </w:p>
                <w:p>
                  <w:pPr>
                    <w:pStyle w:val="2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大肠菌群,CFU/g：n=5,c=2,m=10,M=100</w:t>
                  </w:r>
                </w:p>
              </w:tc>
              <w:tc>
                <w:tcPr>
                  <w:tcW w:w="1733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感官：符合要求；</w:t>
                  </w:r>
                </w:p>
                <w:p>
                  <w:pPr>
                    <w:pStyle w:val="2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净含量：73.5g；</w:t>
                  </w:r>
                </w:p>
                <w:p>
                  <w:pPr>
                    <w:pStyle w:val="2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菌落总数＜10,＜10,＜10,＜10,＜10；</w:t>
                  </w:r>
                </w:p>
                <w:p>
                  <w:pPr>
                    <w:pStyle w:val="2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大肠菌群:0,0,0,0,0</w:t>
                  </w:r>
                </w:p>
              </w:tc>
              <w:tc>
                <w:tcPr>
                  <w:tcW w:w="178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337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240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33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8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337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240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33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78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另抽查2022-07-21批次咸鸭蛋，控制方式同上。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r>
              <w:rPr>
                <w:rFonts w:hint="eastAsia"/>
              </w:rPr>
              <w:t>抽取服务放行相关记录名称：</w:t>
            </w:r>
            <w:r>
              <w:rPr>
                <w:rFonts w:hint="eastAsia"/>
                <w:u w:val="single"/>
              </w:rPr>
              <w:t xml:space="preserve">《 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服务规范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抽取成品例外（</w:t>
            </w:r>
            <w:r>
              <w:t>在策划的安排已圆满完成之前</w:t>
            </w:r>
            <w:r>
              <w:rPr>
                <w:rFonts w:hint="eastAsia"/>
              </w:rPr>
              <w:t>）放行相关记录：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已放生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未发生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9"/>
              <w:gridCol w:w="1080"/>
              <w:gridCol w:w="1938"/>
              <w:gridCol w:w="1237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9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08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938" w:type="dxa"/>
                </w:tcPr>
                <w:p>
                  <w:r>
                    <w:rPr>
                      <w:rFonts w:hint="eastAsia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>
                  <w: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9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080" w:type="dxa"/>
                </w:tcPr>
                <w:p/>
              </w:tc>
              <w:tc>
                <w:tcPr>
                  <w:tcW w:w="1938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9" w:type="dxa"/>
                </w:tcPr>
                <w:p/>
              </w:tc>
              <w:tc>
                <w:tcPr>
                  <w:tcW w:w="1080" w:type="dxa"/>
                </w:tcPr>
                <w:p/>
              </w:tc>
              <w:tc>
                <w:tcPr>
                  <w:tcW w:w="1938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  <w:p/>
        </w:tc>
        <w:tc>
          <w:tcPr>
            <w:tcW w:w="1585" w:type="dxa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rPr>
                <w:rFonts w:hint="eastAsia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</w:rPr>
              <w:sym w:font="Wingdings" w:char="00A8"/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</w:rPr>
              <w:sym w:font="Wingdings" w:char="00FE"/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restart"/>
            <w:shd w:val="clear" w:color="auto" w:fill="EBF1DE" w:themeFill="accent3" w:themeFillTint="32"/>
          </w:tcPr>
          <w:p>
            <w:r>
              <w:rPr>
                <w:rFonts w:hint="eastAsia"/>
              </w:rPr>
              <w:t>HACCP体系验证</w:t>
            </w:r>
          </w:p>
        </w:tc>
        <w:tc>
          <w:tcPr>
            <w:tcW w:w="1100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4.5  </w:t>
            </w:r>
          </w:p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验证活动策划、实施和评价程序</w:t>
            </w:r>
            <w:r>
              <w:rPr>
                <w:rFonts w:hint="eastAsia"/>
                <w:highlight w:val="none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  <w:lang w:val="en-US" w:eastAsia="zh-CN"/>
              </w:rPr>
              <w:t>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continue"/>
            <w:shd w:val="clear" w:color="auto" w:fill="EBF1DE" w:themeFill="accent3" w:themeFillTint="32"/>
          </w:tcPr>
          <w:p/>
        </w:tc>
        <w:tc>
          <w:tcPr>
            <w:tcW w:w="1100" w:type="dxa"/>
            <w:vMerge w:val="continue"/>
            <w:shd w:val="clear" w:color="auto" w:fill="EBF1DE" w:themeFill="accent3" w:themeFillTint="32"/>
          </w:tcPr>
          <w:p/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t>验证程序包括：</w:t>
            </w:r>
            <w:r>
              <w:rPr>
                <w:rFonts w:hint="eastAsia"/>
                <w:color w:val="0000FF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验证的依据和方法、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验证的频率、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验证的人员、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验证的人员、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验证的内容、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验证结果及采取的措施、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验证记录、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>验证内容包括：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</w:p>
          <w:p/>
          <w:p>
            <w:r>
              <w:rPr>
                <w:rFonts w:hint="eastAsia"/>
              </w:rPr>
              <w:t xml:space="preserve">a）评审监控记录以确定关键控制点处于受控状态；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b）评审纠正措施记录，包括具体的偏离、产品处置和分析，以确定偏离的根本原因；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c）校准或检查计量器具的准确性；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d）观察控制措施是否按照HACCP计划实施；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e）抽样检测验证产品的安全性；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f）环境采样和检测；          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g）HACCP体系审核。         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  <w:p>
            <w:r>
              <w:rPr>
                <w:rFonts w:hint="eastAsia"/>
              </w:rPr>
              <w:t>验证活动采用方式：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观察、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内部审核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外部审核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校准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抽样检测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记录评审 。</w:t>
            </w:r>
          </w:p>
          <w:p>
            <w:pPr>
              <w:rPr>
                <w:color w:val="0000FF"/>
              </w:rPr>
            </w:pPr>
          </w:p>
          <w:p>
            <w:r>
              <w:rPr>
                <w:rFonts w:hint="eastAsia"/>
              </w:rPr>
              <w:t>《验证控制程序》的内容包括：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内容全面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内容不全面，说明：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见《验证报告》和《检验报告》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抽取作业环境（人员、空气、工器具、接触面等）检验相关记录名称：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空气沉降记录</w:t>
            </w:r>
            <w:r>
              <w:rPr>
                <w:rFonts w:hint="eastAsia"/>
                <w:highlight w:val="none"/>
                <w:u w:val="single"/>
              </w:rPr>
              <w:t xml:space="preserve">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060"/>
              <w:gridCol w:w="1522"/>
              <w:gridCol w:w="2475"/>
              <w:gridCol w:w="15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样品名称</w:t>
                  </w:r>
                </w:p>
              </w:tc>
              <w:tc>
                <w:tcPr>
                  <w:tcW w:w="106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52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24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159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2022-01-05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蛋黄间（空气沉降）</w:t>
                  </w:r>
                </w:p>
              </w:tc>
              <w:tc>
                <w:tcPr>
                  <w:tcW w:w="106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522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菌落总数≤20cfu/皿</w:t>
                  </w:r>
                </w:p>
              </w:tc>
              <w:tc>
                <w:tcPr>
                  <w:tcW w:w="247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菌落总数：15cfu/皿、13cfu/皿、20cfu/皿</w:t>
                  </w:r>
                </w:p>
              </w:tc>
              <w:tc>
                <w:tcPr>
                  <w:tcW w:w="159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2022-01-05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车间手部（真空间）——未明确人员手部 </w:t>
                  </w:r>
                </w:p>
              </w:tc>
              <w:tc>
                <w:tcPr>
                  <w:tcW w:w="106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52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菌落总数≤300cfu/只手</w:t>
                  </w:r>
                </w:p>
              </w:tc>
              <w:tc>
                <w:tcPr>
                  <w:tcW w:w="247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菌落总数：150,90,70</w:t>
                  </w:r>
                </w:p>
              </w:tc>
              <w:tc>
                <w:tcPr>
                  <w:tcW w:w="1599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2022-09-15</w:t>
                  </w: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蛋黄间（空气沉降）</w:t>
                  </w:r>
                </w:p>
              </w:tc>
              <w:tc>
                <w:tcPr>
                  <w:tcW w:w="106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52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菌落总数≤20cfu/皿</w:t>
                  </w:r>
                </w:p>
              </w:tc>
              <w:tc>
                <w:tcPr>
                  <w:tcW w:w="247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菌落总数：6cfu/皿、4cfu/皿</w:t>
                  </w:r>
                </w:p>
              </w:tc>
              <w:tc>
                <w:tcPr>
                  <w:tcW w:w="1599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2022-09-15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内包装袋</w:t>
                  </w:r>
                </w:p>
              </w:tc>
              <w:tc>
                <w:tcPr>
                  <w:tcW w:w="106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52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菌落总数≤20个/cm</w:t>
                  </w:r>
                  <w:r>
                    <w:rPr>
                      <w:rFonts w:hint="eastAsia"/>
                      <w:highlight w:val="none"/>
                      <w:vertAlign w:val="superscript"/>
                      <w:lang w:val="en-US" w:eastAsia="zh-CN"/>
                    </w:rPr>
                    <w:t>2</w:t>
                  </w:r>
                </w:p>
              </w:tc>
              <w:tc>
                <w:tcPr>
                  <w:tcW w:w="247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菌落总数：4cfu（单位不够合理，已与企业沟通）</w:t>
                  </w:r>
                </w:p>
              </w:tc>
              <w:tc>
                <w:tcPr>
                  <w:tcW w:w="1599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2475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599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060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522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2475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  <w:tc>
                <w:tcPr>
                  <w:tcW w:w="1599" w:type="dxa"/>
                </w:tcPr>
                <w:p>
                  <w:pPr>
                    <w:rPr>
                      <w:highlight w:val="cyan"/>
                    </w:rPr>
                  </w:pPr>
                </w:p>
              </w:tc>
            </w:tr>
          </w:tbl>
          <w:p>
            <w:pPr>
              <w:pStyle w:val="2"/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  <w:lang w:val="en-US" w:eastAsia="zh-CN"/>
              </w:rPr>
              <w:t>抽查：直接接触食品的生产设备设施、工作服、手套等接触面的验证情况，未提供有效的验证证据。</w:t>
            </w:r>
          </w:p>
          <w:p>
            <w:pPr>
              <w:pStyle w:val="2"/>
            </w:pP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抽取生产用水、蒸汽、冰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color w:val="0000FF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>
            <w:pP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Cs w:val="21"/>
                <w:u w:val="single"/>
                <w:lang w:val="en-US" w:eastAsia="zh-CN"/>
              </w:rPr>
              <w:t>提供有委托第三方进行检测的水质报告，见收集材料。</w:t>
            </w:r>
          </w:p>
          <w:p>
            <w:pPr>
              <w:pStyle w:val="2"/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>
            <w:r>
              <w:rPr>
                <w:rFonts w:hint="eastAsia"/>
              </w:rPr>
              <w:t>验证的结果需要输入到管理评审中，以确保这些重要数据资源能被适当考虑并对整个H</w:t>
            </w:r>
            <w:r>
              <w:t>ACCP</w:t>
            </w:r>
            <w:r>
              <w:rPr>
                <w:rFonts w:hint="eastAsia"/>
              </w:rPr>
              <w:t>体系持续改进其作用；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见</w:t>
            </w:r>
            <w:r>
              <w:rPr>
                <w:rFonts w:hint="eastAsia"/>
                <w:color w:val="0000FF"/>
                <w:u w:val="single"/>
              </w:rPr>
              <w:t>《管理评审》、《验证结果分析分析报告》</w:t>
            </w:r>
          </w:p>
          <w:p>
            <w:pPr>
              <w:rPr>
                <w:u w:val="single"/>
              </w:rPr>
            </w:pPr>
          </w:p>
          <w:p>
            <w:r>
              <w:rPr>
                <w:rFonts w:hint="eastAsia"/>
              </w:rPr>
              <w:t>当验证结果不符合要求时，应采取纠正措施并进行再验证。</w:t>
            </w:r>
          </w:p>
          <w:p/>
          <w:p>
            <w:r>
              <w:rPr>
                <w:rFonts w:hint="eastAsia"/>
              </w:rPr>
              <w:t>验证活动证实：</w:t>
            </w:r>
          </w:p>
          <w:p>
            <w:r>
              <w:rPr>
                <w:rFonts w:hint="eastAsia"/>
              </w:rPr>
              <w:t>—HACCP计划得以实施，并持续控制危害；</w:t>
            </w: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  <w:color w:val="0000FF"/>
              </w:rPr>
              <w:t>有效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>失效，说明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</w:p>
          <w:p>
            <w:r>
              <w:rPr>
                <w:rFonts w:hint="eastAsia"/>
              </w:rPr>
              <w:t xml:space="preserve">—控制措施按照预期有效控制相应危害。   </w:t>
            </w: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  <w:color w:val="0000FF"/>
              </w:rPr>
              <w:t>有效</w:t>
            </w:r>
            <w:r>
              <w:rPr>
                <w:color w:val="0000FF"/>
              </w:rPr>
              <w:t xml:space="preserve"> 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>失效，说明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color w:val="0000FF"/>
                <w:u w:val="single"/>
              </w:rPr>
              <w:t xml:space="preserve">              </w:t>
            </w:r>
          </w:p>
          <w:p>
            <w:r>
              <w:rPr>
                <w:rFonts w:hint="eastAsia"/>
              </w:rPr>
              <w:t>验证不应由实施监控和纠正措施的人员进行。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  <w:p>
            <w:r>
              <w:rPr>
                <w:rFonts w:hint="eastAsia"/>
              </w:rPr>
              <w:t>如部分验证活动无法由企业内部实施，可委托具备能力的外部专家或第三方实施。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外部专家或第三方名称：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外委验证的内容：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——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color w:val="0000FF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；</w:t>
            </w:r>
          </w:p>
          <w:p/>
          <w:p>
            <w:r>
              <w:rPr>
                <w:rFonts w:hint="eastAsia"/>
              </w:rPr>
              <w:t>应定期对HACCP体系充分性进行评审，适用时进行重新评审。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restart"/>
            <w:shd w:val="clear" w:color="auto" w:fill="EBF1DE" w:themeFill="accent3" w:themeFillTint="32"/>
          </w:tcPr>
          <w:p>
            <w:r>
              <w:rPr>
                <w:rFonts w:hint="eastAsia"/>
              </w:rPr>
              <w:t>不合格和纠正措施</w:t>
            </w:r>
          </w:p>
        </w:tc>
        <w:tc>
          <w:tcPr>
            <w:tcW w:w="1100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 </w:t>
            </w:r>
          </w:p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《不合格控制程序》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continue"/>
            <w:shd w:val="clear" w:color="auto" w:fill="EBF1DE" w:themeFill="accent3" w:themeFillTint="32"/>
          </w:tcPr>
          <w:p/>
        </w:tc>
        <w:tc>
          <w:tcPr>
            <w:tcW w:w="1100" w:type="dxa"/>
            <w:vMerge w:val="continue"/>
            <w:shd w:val="clear" w:color="auto" w:fill="EBF1DE" w:themeFill="accent3" w:themeFillTint="32"/>
          </w:tcPr>
          <w:p/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t>5.1.1 不合格</w:t>
            </w:r>
          </w:p>
          <w:p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审核周期内以来未发生</w:t>
            </w:r>
            <w:r>
              <w:rPr>
                <w:rFonts w:hint="eastAsia"/>
                <w:u w:val="single"/>
              </w:rPr>
              <w:t xml:space="preserve"> 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抽取不合格半成品处置相关记录名称：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审核周期内以来未发生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highlight w:val="none"/>
                <w:u w:val="single"/>
              </w:rPr>
              <w:t xml:space="preserve">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返工后验证合格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审核周期内以来未发生</w:t>
            </w:r>
            <w:r>
              <w:rPr>
                <w:rFonts w:hint="eastAsia"/>
                <w:u w:val="single"/>
              </w:rPr>
              <w:t xml:space="preserve">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抽取出厂后不合格成品处置相关记录：名称：</w:t>
            </w:r>
            <w:r>
              <w:rPr>
                <w:rFonts w:hint="eastAsia"/>
                <w:highlight w:val="none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val="en-US" w:eastAsia="zh-CN"/>
              </w:rPr>
              <w:t>审核周期内未发生变化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highlight w:val="none"/>
                <w:u w:val="single"/>
              </w:rPr>
              <w:t xml:space="preserve">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客户接受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20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审核周期内未发生变化</w:t>
            </w:r>
            <w:r>
              <w:rPr>
                <w:rFonts w:hint="eastAsia"/>
                <w:u w:val="single"/>
              </w:rPr>
              <w:t xml:space="preserve">  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7"/>
              <w:gridCol w:w="133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330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33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33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restart"/>
            <w:shd w:val="clear" w:color="auto" w:fill="EBF1DE" w:themeFill="accent3" w:themeFillTint="32"/>
          </w:tcPr>
          <w:p>
            <w:r>
              <w:rPr>
                <w:rFonts w:hint="eastAsia"/>
              </w:rPr>
              <w:t>纠正措施</w:t>
            </w:r>
          </w:p>
          <w:p/>
        </w:tc>
        <w:tc>
          <w:tcPr>
            <w:tcW w:w="1100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5.1.2 </w:t>
            </w:r>
          </w:p>
          <w:p/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《纠正措施控制程序》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continue"/>
            <w:shd w:val="clear" w:color="auto" w:fill="EBF1DE" w:themeFill="accent3" w:themeFillTint="32"/>
          </w:tcPr>
          <w:p/>
        </w:tc>
        <w:tc>
          <w:tcPr>
            <w:tcW w:w="1100" w:type="dxa"/>
            <w:vMerge w:val="continue"/>
            <w:shd w:val="clear" w:color="auto" w:fill="EBF1DE" w:themeFill="accent3" w:themeFillTint="32"/>
          </w:tcPr>
          <w:p/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t>不符合的来源：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顾客投诉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食品安全问题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工作运行中的问题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审核周期内未发生变化</w:t>
            </w:r>
            <w:r>
              <w:rPr>
                <w:rFonts w:hint="eastAsia"/>
                <w:u w:val="single"/>
              </w:rPr>
              <w:t xml:space="preserve">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1563"/>
              <w:gridCol w:w="1390"/>
              <w:gridCol w:w="1680"/>
              <w:gridCol w:w="1692"/>
              <w:gridCol w:w="19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3" w:type="dxa"/>
                </w:tcPr>
                <w:p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390" w:type="dxa"/>
                </w:tcPr>
                <w:p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692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921" w:type="dxa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63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9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69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921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63" w:type="dxa"/>
                </w:tcPr>
                <w:p/>
              </w:tc>
              <w:tc>
                <w:tcPr>
                  <w:tcW w:w="1390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1692" w:type="dxa"/>
                </w:tcPr>
                <w:p/>
              </w:tc>
              <w:tc>
                <w:tcPr>
                  <w:tcW w:w="1921" w:type="dxa"/>
                </w:tcPr>
                <w:p/>
              </w:tc>
            </w:tr>
          </w:tbl>
          <w:p>
            <w:pPr>
              <w:pStyle w:val="2"/>
            </w:pPr>
          </w:p>
          <w:p>
            <w:r>
              <w:rPr>
                <w:rFonts w:hint="eastAsia"/>
              </w:rPr>
              <w:t>纠正措施是否与不合格所产生的影响相适应。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1DE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restart"/>
            <w:shd w:val="clear" w:color="auto" w:fill="EBF1DE" w:themeFill="accent3" w:themeFillTint="32"/>
          </w:tcPr>
          <w:p>
            <w:r>
              <w:rPr>
                <w:rFonts w:hint="eastAsia"/>
              </w:rPr>
              <w:t>不合格处置</w:t>
            </w:r>
          </w:p>
        </w:tc>
        <w:tc>
          <w:tcPr>
            <w:tcW w:w="1100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5.1.3 </w:t>
            </w:r>
          </w:p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不合格品控制程序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BF1DE" w:themeFill="accent3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20" w:type="dxa"/>
            <w:vMerge w:val="continue"/>
            <w:shd w:val="clear" w:color="auto" w:fill="EBF1DE" w:themeFill="accent3" w:themeFillTint="32"/>
          </w:tcPr>
          <w:p/>
        </w:tc>
        <w:tc>
          <w:tcPr>
            <w:tcW w:w="1100" w:type="dxa"/>
            <w:vMerge w:val="continue"/>
            <w:shd w:val="clear" w:color="auto" w:fill="EBF1DE" w:themeFill="accent3" w:themeFillTint="32"/>
          </w:tcPr>
          <w:p/>
        </w:tc>
        <w:tc>
          <w:tcPr>
            <w:tcW w:w="674" w:type="dxa"/>
            <w:shd w:val="clear" w:color="auto" w:fill="EBF1DE" w:themeFill="accent3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330" w:type="dxa"/>
            <w:gridSpan w:val="2"/>
            <w:shd w:val="clear" w:color="auto" w:fill="EBF1DE" w:themeFill="accent3" w:themeFillTint="32"/>
          </w:tcPr>
          <w:p>
            <w:r>
              <w:rPr>
                <w:rFonts w:hint="eastAsia"/>
              </w:rPr>
              <w:t>企业应保留不合格处置记录，以作为以下证据：</w:t>
            </w:r>
          </w:p>
          <w:p>
            <w:r>
              <w:rPr>
                <w:rFonts w:hint="eastAsia"/>
              </w:rPr>
              <w:t>a）不合格的性质以及随后采取的措施；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b）纠正措施的结果。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已保留，见《不合格品评审单》</w:t>
            </w:r>
          </w:p>
        </w:tc>
        <w:tc>
          <w:tcPr>
            <w:tcW w:w="1585" w:type="dxa"/>
            <w:vMerge w:val="continue"/>
            <w:shd w:val="clear" w:color="auto" w:fill="EBF1DE" w:themeFill="accent3" w:themeFillTint="32"/>
          </w:tcPr>
          <w:p/>
        </w:tc>
      </w:tr>
    </w:tbl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36830</wp:posOffset>
          </wp:positionV>
          <wp:extent cx="415290" cy="418465"/>
          <wp:effectExtent l="0" t="0" r="3810" b="63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29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237F6"/>
    <w:rsid w:val="0003373A"/>
    <w:rsid w:val="000400E2"/>
    <w:rsid w:val="00062E46"/>
    <w:rsid w:val="00064FB3"/>
    <w:rsid w:val="0008296E"/>
    <w:rsid w:val="000C2DCE"/>
    <w:rsid w:val="000E6B21"/>
    <w:rsid w:val="00101728"/>
    <w:rsid w:val="001139D4"/>
    <w:rsid w:val="00186260"/>
    <w:rsid w:val="001A2D7F"/>
    <w:rsid w:val="001F7537"/>
    <w:rsid w:val="002165CB"/>
    <w:rsid w:val="002939AD"/>
    <w:rsid w:val="002A028A"/>
    <w:rsid w:val="002E67B3"/>
    <w:rsid w:val="00314AF6"/>
    <w:rsid w:val="00337922"/>
    <w:rsid w:val="00340867"/>
    <w:rsid w:val="00375754"/>
    <w:rsid w:val="00380837"/>
    <w:rsid w:val="003A198A"/>
    <w:rsid w:val="003B13B8"/>
    <w:rsid w:val="003C1754"/>
    <w:rsid w:val="003C641B"/>
    <w:rsid w:val="003C7DBF"/>
    <w:rsid w:val="003E2647"/>
    <w:rsid w:val="00410914"/>
    <w:rsid w:val="004304D8"/>
    <w:rsid w:val="00440274"/>
    <w:rsid w:val="004B42A9"/>
    <w:rsid w:val="004E3507"/>
    <w:rsid w:val="005310FB"/>
    <w:rsid w:val="00536930"/>
    <w:rsid w:val="005472E3"/>
    <w:rsid w:val="00564E53"/>
    <w:rsid w:val="005C0A06"/>
    <w:rsid w:val="005D5659"/>
    <w:rsid w:val="00600C20"/>
    <w:rsid w:val="00644FE2"/>
    <w:rsid w:val="00674E7B"/>
    <w:rsid w:val="0067640C"/>
    <w:rsid w:val="00676974"/>
    <w:rsid w:val="00687324"/>
    <w:rsid w:val="006E668E"/>
    <w:rsid w:val="006E678B"/>
    <w:rsid w:val="00737F57"/>
    <w:rsid w:val="007757F3"/>
    <w:rsid w:val="007B4D48"/>
    <w:rsid w:val="007C1B48"/>
    <w:rsid w:val="007E6AEB"/>
    <w:rsid w:val="007F652D"/>
    <w:rsid w:val="008973EE"/>
    <w:rsid w:val="008B432D"/>
    <w:rsid w:val="00971600"/>
    <w:rsid w:val="00990C06"/>
    <w:rsid w:val="009973B4"/>
    <w:rsid w:val="009C1290"/>
    <w:rsid w:val="009C28C1"/>
    <w:rsid w:val="009C5776"/>
    <w:rsid w:val="009F7EED"/>
    <w:rsid w:val="00A80636"/>
    <w:rsid w:val="00AF0AAB"/>
    <w:rsid w:val="00B4743E"/>
    <w:rsid w:val="00B843D3"/>
    <w:rsid w:val="00BC1484"/>
    <w:rsid w:val="00BF3CC7"/>
    <w:rsid w:val="00BF597E"/>
    <w:rsid w:val="00C51A36"/>
    <w:rsid w:val="00C55228"/>
    <w:rsid w:val="00C63768"/>
    <w:rsid w:val="00C9058E"/>
    <w:rsid w:val="00CD2D54"/>
    <w:rsid w:val="00CE315A"/>
    <w:rsid w:val="00D06F59"/>
    <w:rsid w:val="00D807A3"/>
    <w:rsid w:val="00D8388C"/>
    <w:rsid w:val="00DC731C"/>
    <w:rsid w:val="00E46E55"/>
    <w:rsid w:val="00E6224C"/>
    <w:rsid w:val="00E70AD6"/>
    <w:rsid w:val="00E70BFD"/>
    <w:rsid w:val="00E91025"/>
    <w:rsid w:val="00EA002E"/>
    <w:rsid w:val="00EB0164"/>
    <w:rsid w:val="00ED0F62"/>
    <w:rsid w:val="00EF2D8F"/>
    <w:rsid w:val="00F10EBC"/>
    <w:rsid w:val="00FA4815"/>
    <w:rsid w:val="00FD40FA"/>
    <w:rsid w:val="00FF6A5E"/>
    <w:rsid w:val="015D4D12"/>
    <w:rsid w:val="06266A4B"/>
    <w:rsid w:val="063C100F"/>
    <w:rsid w:val="06CD2AC4"/>
    <w:rsid w:val="08D45654"/>
    <w:rsid w:val="08EF65F2"/>
    <w:rsid w:val="0AD31A5B"/>
    <w:rsid w:val="0D2A3421"/>
    <w:rsid w:val="0DB258A3"/>
    <w:rsid w:val="0DB265A2"/>
    <w:rsid w:val="0E316C3F"/>
    <w:rsid w:val="0E5F120E"/>
    <w:rsid w:val="0FAE2D98"/>
    <w:rsid w:val="10064BAB"/>
    <w:rsid w:val="108219C2"/>
    <w:rsid w:val="11546D11"/>
    <w:rsid w:val="120C6352"/>
    <w:rsid w:val="12464BA6"/>
    <w:rsid w:val="133F19A9"/>
    <w:rsid w:val="145801E9"/>
    <w:rsid w:val="17995692"/>
    <w:rsid w:val="193D50BE"/>
    <w:rsid w:val="1B307FAD"/>
    <w:rsid w:val="1C2D5815"/>
    <w:rsid w:val="1CF045D9"/>
    <w:rsid w:val="1D9D3945"/>
    <w:rsid w:val="1DDF0F5A"/>
    <w:rsid w:val="1DF6153B"/>
    <w:rsid w:val="1E0D121E"/>
    <w:rsid w:val="1E15129D"/>
    <w:rsid w:val="1E2D7039"/>
    <w:rsid w:val="1E386EAC"/>
    <w:rsid w:val="1E55446A"/>
    <w:rsid w:val="1EEA26CC"/>
    <w:rsid w:val="1F24036A"/>
    <w:rsid w:val="20F174A6"/>
    <w:rsid w:val="219D36DA"/>
    <w:rsid w:val="22A25127"/>
    <w:rsid w:val="22B54B0B"/>
    <w:rsid w:val="2455723F"/>
    <w:rsid w:val="252E75E6"/>
    <w:rsid w:val="258942A1"/>
    <w:rsid w:val="26A77D69"/>
    <w:rsid w:val="26DE579B"/>
    <w:rsid w:val="27BD6C5C"/>
    <w:rsid w:val="28380A89"/>
    <w:rsid w:val="2D176851"/>
    <w:rsid w:val="2E4419BB"/>
    <w:rsid w:val="2F216952"/>
    <w:rsid w:val="30F57479"/>
    <w:rsid w:val="30F667EB"/>
    <w:rsid w:val="31CE6892"/>
    <w:rsid w:val="32123FFF"/>
    <w:rsid w:val="329E6ECC"/>
    <w:rsid w:val="32E549D6"/>
    <w:rsid w:val="338B435D"/>
    <w:rsid w:val="34952C24"/>
    <w:rsid w:val="35C21E9E"/>
    <w:rsid w:val="364B0246"/>
    <w:rsid w:val="374A55D1"/>
    <w:rsid w:val="38D16F63"/>
    <w:rsid w:val="39232843"/>
    <w:rsid w:val="397A6350"/>
    <w:rsid w:val="39ED37D1"/>
    <w:rsid w:val="3AA8309D"/>
    <w:rsid w:val="3AD866D8"/>
    <w:rsid w:val="3ADF3E40"/>
    <w:rsid w:val="3B021652"/>
    <w:rsid w:val="3CBC4F1E"/>
    <w:rsid w:val="3D017E9E"/>
    <w:rsid w:val="3DC72E19"/>
    <w:rsid w:val="3DFF1189"/>
    <w:rsid w:val="403C1B0A"/>
    <w:rsid w:val="40D31FBB"/>
    <w:rsid w:val="447E00C9"/>
    <w:rsid w:val="44866E1C"/>
    <w:rsid w:val="45166589"/>
    <w:rsid w:val="453F71A9"/>
    <w:rsid w:val="456314F8"/>
    <w:rsid w:val="46812352"/>
    <w:rsid w:val="474A7C94"/>
    <w:rsid w:val="484953F3"/>
    <w:rsid w:val="49FE68C7"/>
    <w:rsid w:val="4BB406DB"/>
    <w:rsid w:val="4DE13AE3"/>
    <w:rsid w:val="4E404DCF"/>
    <w:rsid w:val="4E6629D2"/>
    <w:rsid w:val="50294487"/>
    <w:rsid w:val="508C34CF"/>
    <w:rsid w:val="50FA687C"/>
    <w:rsid w:val="5194269B"/>
    <w:rsid w:val="52305B85"/>
    <w:rsid w:val="525732C1"/>
    <w:rsid w:val="54B036D1"/>
    <w:rsid w:val="55022641"/>
    <w:rsid w:val="5563336E"/>
    <w:rsid w:val="56020D2D"/>
    <w:rsid w:val="56897BCB"/>
    <w:rsid w:val="5745090A"/>
    <w:rsid w:val="5833381A"/>
    <w:rsid w:val="59097D63"/>
    <w:rsid w:val="59AF2221"/>
    <w:rsid w:val="59D33C53"/>
    <w:rsid w:val="5A1F5233"/>
    <w:rsid w:val="5A4C4364"/>
    <w:rsid w:val="5B1D5DF1"/>
    <w:rsid w:val="5B93583B"/>
    <w:rsid w:val="5BAC4CED"/>
    <w:rsid w:val="5BD142B8"/>
    <w:rsid w:val="5CA0054D"/>
    <w:rsid w:val="5D24016A"/>
    <w:rsid w:val="5EA12B9A"/>
    <w:rsid w:val="600300DE"/>
    <w:rsid w:val="61546784"/>
    <w:rsid w:val="61914B57"/>
    <w:rsid w:val="628971D1"/>
    <w:rsid w:val="64E122F1"/>
    <w:rsid w:val="667B0FB6"/>
    <w:rsid w:val="668156F0"/>
    <w:rsid w:val="66E80594"/>
    <w:rsid w:val="67E458E5"/>
    <w:rsid w:val="68522439"/>
    <w:rsid w:val="69A55022"/>
    <w:rsid w:val="6E475FBD"/>
    <w:rsid w:val="6EDD479C"/>
    <w:rsid w:val="6F8034DB"/>
    <w:rsid w:val="6FD60296"/>
    <w:rsid w:val="7022012C"/>
    <w:rsid w:val="70273BAA"/>
    <w:rsid w:val="712E3A27"/>
    <w:rsid w:val="743E2EC4"/>
    <w:rsid w:val="74BB5781"/>
    <w:rsid w:val="750158F1"/>
    <w:rsid w:val="75FD56CB"/>
    <w:rsid w:val="76C74496"/>
    <w:rsid w:val="76CC5E9B"/>
    <w:rsid w:val="76E82337"/>
    <w:rsid w:val="7769287A"/>
    <w:rsid w:val="787A628C"/>
    <w:rsid w:val="79560518"/>
    <w:rsid w:val="7B2D180B"/>
    <w:rsid w:val="7C6427B4"/>
    <w:rsid w:val="7D216484"/>
    <w:rsid w:val="7D2C7BD6"/>
    <w:rsid w:val="7EB83CDD"/>
    <w:rsid w:val="7EE212AD"/>
    <w:rsid w:val="7F8343B2"/>
    <w:rsid w:val="7FDE5BE5"/>
    <w:rsid w:val="7FFB2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56" w:beforeLines="50" w:after="156" w:afterLines="50" w:line="300" w:lineRule="auto"/>
      <w:outlineLvl w:val="2"/>
    </w:pPr>
    <w:rPr>
      <w:rFonts w:ascii="黑体" w:hAnsi="宋体" w:eastAsia="黑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adjustRightInd w:val="0"/>
      <w:snapToGrid w:val="0"/>
      <w:spacing w:before="25" w:after="25" w:line="360" w:lineRule="auto"/>
      <w:ind w:firstLine="540"/>
    </w:pPr>
    <w:rPr>
      <w:rFonts w:ascii="宋体" w:hAnsi="宋体"/>
      <w:kern w:val="0"/>
      <w:sz w:val="28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纯文本1"/>
    <w:basedOn w:val="1"/>
    <w:link w:val="16"/>
    <w:qFormat/>
    <w:uiPriority w:val="0"/>
    <w:rPr>
      <w:rFonts w:ascii="宋体" w:hAnsi="Courier New"/>
    </w:rPr>
  </w:style>
  <w:style w:type="character" w:customStyle="1" w:styleId="16">
    <w:name w:val="纯文本 字符"/>
    <w:link w:val="15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7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252C2-83F8-4CF2-8FAF-4DB1C31C5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5431</Words>
  <Characters>30962</Characters>
  <Lines>258</Lines>
  <Paragraphs>72</Paragraphs>
  <TotalTime>0</TotalTime>
  <ScaleCrop>false</ScaleCrop>
  <LinksUpToDate>false</LinksUpToDate>
  <CharactersWithSpaces>36321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2022-11-05T03:07:21Z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7516F9F5CE9A445989B0615A5D5D360C</vt:lpwstr>
  </property>
</Properties>
</file>