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5012"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4"/>
        <w:gridCol w:w="922"/>
        <w:gridCol w:w="745"/>
        <w:gridCol w:w="965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398" w:type="dxa"/>
            <w:gridSpan w:val="2"/>
            <w:vAlign w:val="center"/>
          </w:tcPr>
          <w:p>
            <w:pPr>
              <w:rPr>
                <w:rFonts w:hint="eastAsia" w:eastAsia="宋体"/>
                <w:sz w:val="24"/>
                <w:szCs w:val="24"/>
                <w:lang w:eastAsia="zh-CN"/>
              </w:rPr>
            </w:pPr>
            <w:r>
              <w:rPr>
                <w:sz w:val="24"/>
                <w:szCs w:val="24"/>
              </w:rPr>
              <w:t xml:space="preserve">受审核部门：  食品安全小组   </w:t>
            </w:r>
            <w:r>
              <w:rPr>
                <w:color w:val="000000"/>
                <w:sz w:val="24"/>
                <w:szCs w:val="24"/>
              </w:rPr>
              <w:t>主管领导：</w:t>
            </w:r>
            <w:r>
              <w:rPr>
                <w:rFonts w:hint="eastAsia"/>
                <w:color w:val="000000"/>
                <w:sz w:val="24"/>
                <w:szCs w:val="24"/>
                <w:lang w:val="en-US" w:eastAsia="zh-CN"/>
              </w:rPr>
              <w:t>陈天然</w:t>
            </w:r>
            <w:r>
              <w:rPr>
                <w:color w:val="000000"/>
                <w:sz w:val="24"/>
                <w:szCs w:val="24"/>
              </w:rPr>
              <w:t xml:space="preserve">  </w:t>
            </w:r>
            <w:r>
              <w:rPr>
                <w:rFonts w:hint="eastAsia"/>
                <w:color w:val="000000"/>
                <w:sz w:val="24"/>
                <w:szCs w:val="24"/>
                <w:lang w:val="en-US" w:eastAsia="zh-CN"/>
              </w:rPr>
              <w:t xml:space="preserve">  </w:t>
            </w:r>
            <w:r>
              <w:rPr>
                <w:color w:val="000000"/>
                <w:sz w:val="24"/>
                <w:szCs w:val="24"/>
              </w:rPr>
              <w:t>陪同人员：</w:t>
            </w:r>
            <w:r>
              <w:rPr>
                <w:rFonts w:hint="eastAsia"/>
                <w:sz w:val="24"/>
                <w:szCs w:val="24"/>
                <w:lang w:val="en-US" w:eastAsia="zh-CN"/>
              </w:rPr>
              <w:t>詹梦婷</w:t>
            </w:r>
          </w:p>
        </w:tc>
        <w:tc>
          <w:tcPr>
            <w:tcW w:w="1504"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spacing w:before="120"/>
              <w:rPr>
                <w:sz w:val="24"/>
                <w:szCs w:val="24"/>
              </w:rPr>
            </w:pPr>
            <w:r>
              <w:rPr>
                <w:sz w:val="24"/>
                <w:szCs w:val="24"/>
              </w:rPr>
              <w:t>审核员：</w:t>
            </w:r>
            <w:r>
              <w:rPr>
                <w:rFonts w:hint="eastAsia"/>
                <w:sz w:val="24"/>
                <w:szCs w:val="24"/>
                <w:lang w:val="en-US" w:eastAsia="zh-CN"/>
              </w:rPr>
              <w:t>肖新龙（远程）、马焕秋实习（远程） 【审核方式：微信/电话/语音/腾讯会议</w:t>
            </w:r>
            <w:r>
              <w:rPr>
                <w:sz w:val="24"/>
                <w:szCs w:val="24"/>
              </w:rPr>
              <w:t xml:space="preserve"> </w:t>
            </w:r>
            <w:r>
              <w:rPr>
                <w:rFonts w:hint="eastAsia"/>
                <w:sz w:val="24"/>
                <w:szCs w:val="24"/>
                <w:lang w:val="en-US" w:eastAsia="zh-CN"/>
              </w:rPr>
              <w:t>】</w:t>
            </w:r>
            <w:r>
              <w:rPr>
                <w:rFonts w:hint="eastAsia"/>
                <w:sz w:val="24"/>
                <w:szCs w:val="24"/>
              </w:rPr>
              <w:t xml:space="preserve">     </w:t>
            </w:r>
            <w:r>
              <w:rPr>
                <w:sz w:val="24"/>
                <w:szCs w:val="24"/>
              </w:rPr>
              <w:t xml:space="preserve">   </w:t>
            </w:r>
          </w:p>
          <w:p>
            <w:pPr>
              <w:spacing w:before="120"/>
              <w:rPr>
                <w:rFonts w:hint="default" w:eastAsia="宋体"/>
                <w:lang w:val="en-US" w:eastAsia="zh-CN"/>
              </w:rPr>
            </w:pPr>
            <w:r>
              <w:rPr>
                <w:sz w:val="24"/>
                <w:szCs w:val="24"/>
              </w:rPr>
              <w:t>审核日期：202</w:t>
            </w:r>
            <w:r>
              <w:rPr>
                <w:rFonts w:hint="eastAsia"/>
                <w:sz w:val="24"/>
                <w:szCs w:val="24"/>
                <w:lang w:val="en-US" w:eastAsia="zh-CN"/>
              </w:rPr>
              <w:t>2-09-27下午</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tabs>
                <w:tab w:val="left" w:pos="6030"/>
              </w:tabs>
              <w:autoSpaceDE w:val="0"/>
              <w:autoSpaceDN w:val="0"/>
              <w:adjustRightInd w:val="0"/>
              <w:jc w:val="left"/>
            </w:pPr>
            <w:r>
              <w:t>审核条款：FSMS:5.3/7.1.5/8.1/8.2/8.3/8.4/8.5/8.6/8.8/9.1.2</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65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504"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74" w:type="dxa"/>
            <w:vMerge w:val="continue"/>
          </w:tcPr>
          <w:p/>
        </w:tc>
        <w:tc>
          <w:tcPr>
            <w:tcW w:w="936" w:type="dxa"/>
            <w:gridSpan w:val="2"/>
            <w:vMerge w:val="continue"/>
          </w:tcPr>
          <w:p/>
        </w:tc>
        <w:tc>
          <w:tcPr>
            <w:tcW w:w="745" w:type="dxa"/>
          </w:tcPr>
          <w:p>
            <w:r>
              <w:t>运行证据</w:t>
            </w:r>
          </w:p>
        </w:tc>
        <w:tc>
          <w:tcPr>
            <w:tcW w:w="9653" w:type="dxa"/>
          </w:tcPr>
          <w:p>
            <w:pPr>
              <w:rPr>
                <w:rFonts w:hint="default" w:eastAsia="宋体"/>
                <w:color w:val="0000FF"/>
                <w:lang w:val="en-US" w:eastAsia="zh-CN"/>
              </w:rPr>
            </w:pPr>
            <w:r>
              <w:t>有食品安全小组名单，包括了</w:t>
            </w:r>
            <w:r>
              <w:rPr>
                <w:rFonts w:hint="eastAsia"/>
              </w:rPr>
              <w:t xml:space="preserve"> </w:t>
            </w:r>
            <w:r>
              <w:rPr>
                <w:rFonts w:hint="eastAsia"/>
                <w:bCs/>
                <w:u w:val="single"/>
              </w:rPr>
              <w:t xml:space="preserve">生产部、品质技术部、供销部、办公室 </w:t>
            </w:r>
            <w:r>
              <w:t>的人员</w:t>
            </w:r>
            <w:r>
              <w:rPr>
                <w:rFonts w:hint="eastAsia"/>
                <w:color w:val="0000FF"/>
                <w:lang w:eastAsia="zh-CN"/>
              </w:rPr>
              <w:t>——</w:t>
            </w:r>
            <w:r>
              <w:rPr>
                <w:rFonts w:hint="eastAsia"/>
                <w:color w:val="0000FF"/>
                <w:lang w:val="en-US" w:eastAsia="zh-CN"/>
              </w:rPr>
              <w:t>审核周期内小组成员未发生变化</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lang w:val="en-US" w:eastAsia="zh-CN"/>
              </w:rPr>
              <w:t xml:space="preserve"> </w:t>
            </w:r>
            <w:r>
              <w:rPr>
                <w:rFonts w:hint="eastAsia" w:ascii="宋体" w:hAnsi="宋体"/>
                <w:szCs w:val="21"/>
                <w:u w:val="single"/>
                <w:lang w:val="en-US" w:eastAsia="zh-CN"/>
              </w:rPr>
              <w:t>陈天然、詹梦婷</w:t>
            </w:r>
            <w:r>
              <w:t>，基本清楚。</w:t>
            </w:r>
          </w:p>
          <w:p>
            <w:pPr>
              <w:pStyle w:val="2"/>
              <w:rPr>
                <w:rFonts w:ascii="Times New Roman" w:hAnsi="Times New Roman"/>
              </w:rPr>
            </w:pPr>
          </w:p>
          <w:p>
            <w:r>
              <w:fldChar w:fldCharType="begin"/>
            </w:r>
            <w:r>
              <w:instrText xml:space="preserve"> eq \o\ac(□,√)</w:instrText>
            </w:r>
            <w:r>
              <w:fldChar w:fldCharType="end"/>
            </w:r>
            <w:r>
              <w:rPr>
                <w:rFonts w:hint="eastAsia"/>
                <w:lang w:val="en-US" w:eastAsia="zh-CN"/>
              </w:rPr>
              <w:t>食品安全小组组长</w:t>
            </w:r>
            <w:r>
              <w:t>：</w:t>
            </w:r>
            <w:r>
              <w:rPr>
                <w:rFonts w:hint="eastAsia" w:ascii="宋体" w:hAnsi="宋体"/>
                <w:szCs w:val="21"/>
                <w:u w:val="single"/>
                <w:lang w:val="en-US" w:eastAsia="zh-CN"/>
              </w:rPr>
              <w:t>陈天然 先生</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6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04" w:type="dxa"/>
            <w:vMerge w:val="restart"/>
            <w:shd w:val="clear" w:color="auto" w:fill="auto"/>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653" w:type="dxa"/>
            <w:shd w:val="clear" w:color="auto" w:fill="auto"/>
          </w:tcPr>
          <w:p>
            <w:pPr>
              <w:rPr>
                <w:rFonts w:hint="default" w:eastAsia="宋体"/>
                <w:color w:val="0000FF"/>
                <w:u w:val="single"/>
                <w:lang w:val="en-US" w:eastAsia="zh-CN"/>
              </w:rPr>
            </w:pPr>
            <w:r>
              <w:rPr>
                <w:rFonts w:hint="eastAsia"/>
              </w:rPr>
              <w:t>组织使用外部建立的FSMS要素，包括：</w:t>
            </w:r>
            <w:r>
              <w:rPr>
                <w:rFonts w:hint="eastAsia"/>
                <w:color w:val="0000FF"/>
                <w:u w:val="single"/>
                <w:lang w:eastAsia="zh-CN"/>
              </w:rPr>
              <w:t>——</w:t>
            </w:r>
            <w:r>
              <w:rPr>
                <w:rFonts w:hint="eastAsia"/>
                <w:color w:val="0000FF"/>
                <w:u w:val="single"/>
                <w:lang w:val="en-US" w:eastAsia="zh-CN"/>
              </w:rPr>
              <w:t xml:space="preserve">企业自己建立FSMS体系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人力资源管理程序</w:t>
            </w:r>
            <w:r>
              <w:t>》</w:t>
            </w:r>
            <w:r>
              <w:rPr>
                <w:rFonts w:hint="eastAsia"/>
                <w:lang w:eastAsia="zh-CN"/>
              </w:rPr>
              <w:t>、</w:t>
            </w:r>
            <w:r>
              <w:rPr/>
              <w:sym w:font="Wingdings" w:char="00A8"/>
            </w:r>
            <w:r>
              <w:t>《能力和意识控制程序》</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rFonts w:hint="default" w:eastAsia="宋体"/>
                <w:color w:val="0000FF"/>
                <w:u w:val="single"/>
                <w:lang w:val="en-US" w:eastAsia="zh-CN"/>
              </w:rPr>
            </w:pPr>
            <w:r>
              <w:t xml:space="preserve">  </w:t>
            </w:r>
            <w:r>
              <w:rPr>
                <w:u w:val="single"/>
              </w:rPr>
              <w:t xml:space="preserve"> 见《</w:t>
            </w:r>
            <w:r>
              <w:rPr>
                <w:rFonts w:hint="eastAsia"/>
                <w:u w:val="single"/>
              </w:rPr>
              <w:t>生产过程控制记录</w:t>
            </w:r>
            <w:r>
              <w:rPr>
                <w:u w:val="single"/>
              </w:rPr>
              <w:t>》和《</w:t>
            </w:r>
            <w:r>
              <w:rPr>
                <w:rFonts w:hint="eastAsia"/>
                <w:u w:val="single"/>
              </w:rPr>
              <w:t>产品检验记录</w:t>
            </w:r>
            <w:r>
              <w:rPr>
                <w:u w:val="single"/>
              </w:rPr>
              <w:t>》</w:t>
            </w:r>
            <w:r>
              <w:rPr>
                <w:rFonts w:hint="eastAsia"/>
                <w:u w:val="single"/>
                <w:lang w:eastAsia="zh-CN"/>
              </w:rPr>
              <w:t>，</w:t>
            </w:r>
            <w:r>
              <w:rPr>
                <w:rFonts w:hint="eastAsia"/>
                <w:color w:val="0000FF"/>
                <w:u w:val="single"/>
                <w:lang w:eastAsia="zh-CN"/>
              </w:rPr>
              <w:t>——</w:t>
            </w:r>
            <w:r>
              <w:rPr>
                <w:rFonts w:hint="eastAsia"/>
                <w:color w:val="0000FF"/>
                <w:u w:val="single"/>
                <w:lang w:val="en-US" w:eastAsia="zh-CN"/>
              </w:rPr>
              <w:t>详见各部门审核记录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653" w:type="dxa"/>
          </w:tcPr>
          <w:p>
            <w:r>
              <w:t>如：</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tcPr>
          <w:p/>
        </w:tc>
        <w:tc>
          <w:tcPr>
            <w:tcW w:w="936" w:type="dxa"/>
            <w:gridSpan w:val="2"/>
            <w:vMerge w:val="continue"/>
          </w:tcPr>
          <w:p/>
        </w:tc>
        <w:tc>
          <w:tcPr>
            <w:tcW w:w="745" w:type="dxa"/>
          </w:tcPr>
          <w:p>
            <w:r>
              <w:t>运行证据</w:t>
            </w:r>
          </w:p>
        </w:tc>
        <w:tc>
          <w:tcPr>
            <w:tcW w:w="965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31647-2018 食品安全国家标准 食品添加剂生产通用卫生规范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rFonts w:hint="default" w:eastAsia="宋体"/>
                <w:u w:val="single"/>
                <w:lang w:val="en-US" w:eastAsia="zh-CN"/>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rPr>
                <w:rFonts w:hint="eastAsia"/>
                <w:lang w:val="en-US" w:eastAsia="zh-CN"/>
              </w:rPr>
              <w:t xml:space="preserve">  </w:t>
            </w:r>
            <w:r>
              <w:t xml:space="preserve">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年6月 1 日   </w:t>
            </w:r>
            <w:r>
              <w:rPr>
                <w:rFonts w:hint="eastAsia"/>
                <w:color w:val="0000FF"/>
                <w:u w:val="single"/>
                <w:lang w:eastAsia="zh-CN"/>
              </w:rPr>
              <w:t>——【</w:t>
            </w:r>
            <w:r>
              <w:rPr>
                <w:rFonts w:hint="eastAsia"/>
                <w:color w:val="0000FF"/>
                <w:u w:val="single"/>
                <w:lang w:val="en-US" w:eastAsia="zh-CN"/>
              </w:rPr>
              <w:t>审核周期内未发生变化</w:t>
            </w:r>
            <w:r>
              <w:rPr>
                <w:rFonts w:hint="eastAsia"/>
                <w:color w:val="0000FF"/>
                <w:u w:val="single"/>
                <w:lang w:eastAsia="zh-CN"/>
              </w:rPr>
              <w:t>】</w:t>
            </w:r>
            <w:r>
              <w:rPr>
                <w:color w:val="0000FF"/>
                <w:u w:val="single"/>
              </w:rPr>
              <w:t xml:space="preserve">     </w:t>
            </w:r>
            <w:r>
              <w:rPr>
                <w:u w:val="single"/>
              </w:rPr>
              <w:t xml:space="preserve">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2"/>
            </w:pPr>
          </w:p>
          <w:p>
            <w:r>
              <w:t>2）立法/执法要求和顾客要求；</w:t>
            </w:r>
          </w:p>
          <w:p>
            <w:pPr>
              <w:ind w:firstLine="420" w:firstLineChars="200"/>
              <w:rPr>
                <w:rFonts w:hint="default" w:eastAsia="宋体"/>
                <w:lang w:val="en-US" w:eastAsia="zh-CN"/>
              </w:rPr>
            </w:pPr>
            <w:r>
              <w:rPr/>
              <w:sym w:font="Wingdings" w:char="00FE"/>
            </w:r>
            <w:r>
              <w:t>立法执法要求：</w:t>
            </w:r>
            <w:r>
              <w:rPr>
                <w:rFonts w:hint="eastAsia"/>
                <w:u w:val="single"/>
                <w:lang w:val="en-US" w:eastAsia="zh-CN"/>
              </w:rPr>
              <w:t>按照相关法律法规执行并满足要求</w:t>
            </w:r>
          </w:p>
          <w:p>
            <w:pPr>
              <w:ind w:firstLine="420" w:firstLineChars="200"/>
              <w:rPr>
                <w:rFonts w:hint="default" w:eastAsia="宋体"/>
                <w:u w:val="single"/>
                <w:lang w:val="en-US" w:eastAsia="zh-CN"/>
              </w:rPr>
            </w:pPr>
            <w:r>
              <w:rPr/>
              <w:sym w:font="Wingdings" w:char="00FE"/>
            </w:r>
            <w:r>
              <w:t>顾客要求：</w:t>
            </w:r>
            <w:r>
              <w:rPr>
                <w:rFonts w:hint="eastAsia"/>
                <w:u w:val="single"/>
                <w:lang w:val="en-US" w:eastAsia="zh-CN"/>
              </w:rPr>
              <w:t>产品符合国家标准要求或者顾客要求</w:t>
            </w:r>
          </w:p>
          <w:p>
            <w:r>
              <w:t>3）适用法典和指南。</w:t>
            </w:r>
          </w:p>
          <w:p>
            <w:pPr>
              <w:rPr>
                <w:highlight w:val="cyan"/>
              </w:rPr>
            </w:pPr>
            <w:r>
              <w:t xml:space="preserve">  无</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shd w:val="clear" w:color="auto" w:fill="auto"/>
          </w:tcPr>
          <w:p>
            <w:r>
              <w:t>实施危害分析的预备步骤</w:t>
            </w:r>
          </w:p>
        </w:tc>
        <w:tc>
          <w:tcPr>
            <w:tcW w:w="922" w:type="dxa"/>
            <w:vMerge w:val="restart"/>
            <w:shd w:val="clear" w:color="auto" w:fill="auto"/>
          </w:tcPr>
          <w:p>
            <w:r>
              <w:t>F8.5.1</w:t>
            </w:r>
          </w:p>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方解石（碳酸钙矿石）</w:t>
            </w:r>
          </w:p>
          <w:p>
            <w:pPr>
              <w:rPr>
                <w:u w:val="single"/>
              </w:rPr>
            </w:pPr>
            <w:r>
              <w:t>食品添加剂：</w:t>
            </w:r>
            <w:r>
              <w:rPr>
                <w:u w:val="single"/>
              </w:rPr>
              <w:t xml:space="preserve">        无</w:t>
            </w:r>
            <w:r>
              <w:rPr>
                <w:rFonts w:hint="eastAsia"/>
                <w:u w:val="single"/>
              </w:rPr>
              <w:t xml:space="preserve"> </w:t>
            </w:r>
            <w:r>
              <w:rPr>
                <w:u w:val="single"/>
              </w:rPr>
              <w:t xml:space="preserve">  </w:t>
            </w:r>
          </w:p>
          <w:p>
            <w:pPr>
              <w:rPr>
                <w:u w:val="single"/>
              </w:rPr>
            </w:pPr>
            <w:r>
              <w:t>辅助材料：</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清洗矿石用水</w:t>
            </w:r>
            <w:r>
              <w:rPr>
                <w:u w:val="single"/>
              </w:rPr>
              <w:t xml:space="preserve">     </w:t>
            </w:r>
          </w:p>
          <w:p>
            <w:pPr>
              <w:rPr>
                <w:u w:val="single"/>
              </w:rPr>
            </w:pPr>
            <w:r>
              <w:t>包装材料：</w:t>
            </w:r>
            <w:r>
              <w:rPr>
                <w:u w:val="single"/>
              </w:rPr>
              <w:t xml:space="preserve">   PE</w:t>
            </w:r>
            <w:r>
              <w:rPr>
                <w:rFonts w:hint="eastAsia"/>
                <w:u w:val="single"/>
              </w:rPr>
              <w:t>膜、</w:t>
            </w:r>
            <w:r>
              <w:rPr>
                <w:rFonts w:hint="eastAsia"/>
                <w:u w:val="single"/>
                <w:lang w:val="en-US" w:eastAsia="zh-CN"/>
              </w:rPr>
              <w:t>塑料</w:t>
            </w:r>
            <w:r>
              <w:rPr>
                <w:rFonts w:hint="eastAsia"/>
                <w:u w:val="single"/>
              </w:rPr>
              <w:t>编织袋</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b/>
                <w:u w:val="single"/>
              </w:rPr>
              <w:t>重质碳酸钙</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食品生产企业</w:t>
            </w:r>
            <w:r>
              <w:rPr>
                <w:rFonts w:hint="eastAsia"/>
                <w:u w:val="single"/>
                <w:lang w:val="en-US" w:eastAsia="zh-CN"/>
              </w:rPr>
              <w:t>提供</w:t>
            </w:r>
            <w:r>
              <w:rPr>
                <w:rFonts w:hint="eastAsia"/>
                <w:u w:val="single"/>
              </w:rPr>
              <w:t>食品添加剂</w:t>
            </w:r>
            <w:r>
              <w:rPr>
                <w:rFonts w:hint="eastAsia"/>
                <w:u w:val="single"/>
                <w:lang w:val="en-US" w:eastAsia="zh-CN"/>
              </w:rPr>
              <w:t>原料</w:t>
            </w:r>
            <w:r>
              <w:rPr>
                <w:u w:val="single"/>
              </w:rPr>
              <w:t xml:space="preserve">   </w:t>
            </w:r>
          </w:p>
          <w:p/>
          <w:p>
            <w:r>
              <w:t>确定已知特别容易受到特定食品安全危害易感的消费群体/使用者：</w:t>
            </w:r>
            <w:r>
              <w:rPr>
                <w:rFonts w:hint="eastAsia"/>
                <w:u w:val="single"/>
                <w:lang w:eastAsia="zh-CN"/>
              </w:rPr>
              <w:t>——</w:t>
            </w:r>
            <w:r>
              <w:rPr>
                <w:rFonts w:hint="eastAsia"/>
                <w:u w:val="single"/>
              </w:rPr>
              <w:t>不涉及</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6</w:t>
            </w:r>
            <w:r>
              <w:rPr>
                <w:szCs w:val="21"/>
              </w:rPr>
              <w:t>月</w:t>
            </w:r>
            <w:r>
              <w:rPr>
                <w:szCs w:val="21"/>
                <w:u w:val="single"/>
              </w:rPr>
              <w:t xml:space="preserve">  1  </w:t>
            </w:r>
            <w:r>
              <w:rPr>
                <w:szCs w:val="21"/>
              </w:rPr>
              <w:t>日</w:t>
            </w:r>
            <w:r>
              <w:t>在现场确认了流程图的准确性。</w:t>
            </w:r>
          </w:p>
          <w:p>
            <w:pPr>
              <w:rPr>
                <w:rFonts w:hint="default" w:eastAsia="宋体"/>
                <w:lang w:val="en-US" w:eastAsia="zh-CN"/>
              </w:rPr>
            </w:pPr>
            <w:r>
              <w:rPr>
                <w:rFonts w:hint="eastAsia"/>
                <w:lang w:val="en-US" w:eastAsia="zh-CN"/>
              </w:rPr>
              <w:t>食品安全小组组长表示审核周期内工艺流程等未发生变化，远程视频巡视生产过程基本与流程图一致，审核周期内流程图未发生变化，未进行再次确认。</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88" w:type="dxa"/>
            <w:gridSpan w:val="2"/>
            <w:vMerge w:val="continue"/>
            <w:shd w:val="clear" w:color="auto" w:fill="auto"/>
          </w:tcPr>
          <w:p/>
        </w:tc>
        <w:tc>
          <w:tcPr>
            <w:tcW w:w="922" w:type="dxa"/>
            <w:shd w:val="clear" w:color="auto" w:fill="auto"/>
          </w:tcPr>
          <w:p/>
        </w:tc>
        <w:tc>
          <w:tcPr>
            <w:tcW w:w="745" w:type="dxa"/>
            <w:shd w:val="clear" w:color="auto" w:fill="auto"/>
          </w:tcPr>
          <w:p/>
        </w:tc>
        <w:tc>
          <w:tcPr>
            <w:tcW w:w="965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FE"/>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（车间布置图）</w:t>
            </w:r>
            <w:r>
              <w:t>（包括：</w:t>
            </w:r>
            <w:r>
              <w:rPr/>
              <w:sym w:font="Wingdings" w:char="00A8"/>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w:t>
            </w:r>
            <w:r>
              <w:rPr>
                <w:rFonts w:hint="eastAsia"/>
                <w:lang w:eastAsia="zh-CN"/>
              </w:rPr>
              <w:t>（</w:t>
            </w:r>
            <w:r>
              <w:rPr>
                <w:rFonts w:hint="eastAsia"/>
                <w:lang w:val="en-US" w:eastAsia="zh-CN"/>
              </w:rPr>
              <w:t>不涉及</w:t>
            </w:r>
            <w:r>
              <w:rPr>
                <w:rFonts w:hint="eastAsia"/>
                <w:lang w:eastAsia="zh-CN"/>
              </w:rPr>
              <w:t>）</w:t>
            </w:r>
            <w:r>
              <w:t>、物料进入、废料排出、外包</w:t>
            </w:r>
            <w:r>
              <w:rPr>
                <w:rFonts w:hint="eastAsia"/>
                <w:lang w:eastAsia="zh-CN"/>
              </w:rPr>
              <w:t>（</w:t>
            </w:r>
            <w:r>
              <w:rPr>
                <w:rFonts w:hint="eastAsia"/>
                <w:lang w:val="en-US" w:eastAsia="zh-CN"/>
              </w:rPr>
              <w:t>不涉及</w:t>
            </w:r>
            <w:r>
              <w:rPr>
                <w:rFonts w:hint="eastAsia"/>
                <w:lang w:eastAsia="zh-CN"/>
              </w:rPr>
              <w:t>）</w:t>
            </w:r>
            <w:r>
              <w:t>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rPr>
                <w:u w:val="single"/>
              </w:rPr>
            </w:pPr>
            <w:r>
              <w:rPr/>
              <w:sym w:font="Wingdings" w:char="00FE"/>
            </w:r>
            <w:r>
              <w:t>来自法律法规</w:t>
            </w:r>
            <w:r>
              <w:rPr>
                <w:u w:val="single"/>
              </w:rPr>
              <w:t xml:space="preserve">——法律法规的变化  </w:t>
            </w:r>
          </w:p>
          <w:p>
            <w:pPr>
              <w:ind w:firstLine="840" w:firstLineChars="400"/>
              <w:rPr>
                <w:rFonts w:hint="default" w:eastAsia="宋体"/>
                <w:lang w:val="en-US" w:eastAsia="zh-CN"/>
              </w:rPr>
            </w:pPr>
            <w:r>
              <w:rPr/>
              <w:sym w:font="Wingdings" w:char="00FE"/>
            </w:r>
            <w:r>
              <w:t>监管机构的要求</w:t>
            </w:r>
            <w:r>
              <w:rPr>
                <w:u w:val="single"/>
              </w:rPr>
              <w:t xml:space="preserve">—— </w:t>
            </w:r>
            <w:r>
              <w:rPr>
                <w:rFonts w:hint="eastAsia"/>
                <w:u w:val="single"/>
                <w:lang w:val="en-US" w:eastAsia="zh-CN"/>
              </w:rPr>
              <w:t>按照法律法规要求执行</w:t>
            </w:r>
          </w:p>
          <w:p>
            <w:pPr>
              <w:ind w:firstLine="840" w:firstLineChars="400"/>
              <w:rPr>
                <w:szCs w:val="21"/>
                <w:u w:val="single"/>
              </w:rPr>
            </w:pPr>
            <w:r>
              <w:rPr/>
              <w:sym w:font="Wingdings" w:char="00FE"/>
            </w:r>
            <w:r>
              <w:t>客户要求</w:t>
            </w:r>
            <w:r>
              <w:rPr>
                <w:u w:val="single"/>
              </w:rPr>
              <w:t>——</w:t>
            </w:r>
            <w:r>
              <w:rPr>
                <w:szCs w:val="21"/>
                <w:u w:val="single"/>
              </w:rPr>
              <w:t>改变</w:t>
            </w:r>
            <w:r>
              <w:rPr>
                <w:rFonts w:hint="eastAsia"/>
                <w:szCs w:val="21"/>
                <w:u w:val="single"/>
              </w:rPr>
              <w:t>订单/需求</w:t>
            </w:r>
            <w:r>
              <w:rPr>
                <w:rFonts w:hint="eastAsia"/>
                <w:szCs w:val="21"/>
                <w:u w:val="single"/>
                <w:lang w:eastAsia="zh-CN"/>
              </w:rPr>
              <w:t>、</w:t>
            </w:r>
            <w:r>
              <w:rPr>
                <w:rFonts w:hint="eastAsia"/>
                <w:szCs w:val="21"/>
                <w:u w:val="single"/>
                <w:lang w:val="en-US" w:eastAsia="zh-CN"/>
              </w:rPr>
              <w:t>对成品指标特性提出要求</w:t>
            </w:r>
            <w:r>
              <w:rPr>
                <w:szCs w:val="21"/>
                <w:u w:val="single"/>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04"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tcPr>
          <w:p>
            <w:r>
              <w:rPr>
                <w:rFonts w:hint="eastAsia"/>
              </w:rPr>
              <w:t>应急准备和响应</w:t>
            </w:r>
          </w:p>
        </w:tc>
        <w:tc>
          <w:tcPr>
            <w:tcW w:w="922" w:type="dxa"/>
            <w:vMerge w:val="restart"/>
          </w:tcPr>
          <w:p>
            <w:pPr>
              <w:rPr>
                <w:rFonts w:hint="default" w:eastAsia="宋体"/>
                <w:lang w:val="en-US" w:eastAsia="zh-CN"/>
              </w:rPr>
            </w:pPr>
            <w:r>
              <w:rPr>
                <w:rFonts w:hint="eastAsia"/>
                <w:lang w:val="en-US" w:eastAsia="zh-CN"/>
              </w:rPr>
              <w:t>F8.9.5</w:t>
            </w:r>
          </w:p>
        </w:tc>
        <w:tc>
          <w:tcPr>
            <w:tcW w:w="745" w:type="dxa"/>
          </w:tcPr>
          <w:p>
            <w:r>
              <w:t>文件名称</w:t>
            </w:r>
          </w:p>
        </w:tc>
        <w:tc>
          <w:tcPr>
            <w:tcW w:w="9653" w:type="dxa"/>
          </w:tcPr>
          <w:p>
            <w:pPr>
              <w:spacing w:line="480" w:lineRule="exact"/>
            </w:pPr>
            <w:r>
              <w:t>如：</w:t>
            </w:r>
            <w:r>
              <w:rPr/>
              <w:sym w:font="Wingdings" w:char="00FE"/>
            </w:r>
            <w:r>
              <w:rPr>
                <w:rFonts w:hint="eastAsia"/>
              </w:rPr>
              <w:t>《产品标识</w:t>
            </w:r>
            <w:r>
              <w:rPr>
                <w:rFonts w:hint="eastAsia"/>
                <w:lang w:val="en-US" w:eastAsia="zh-CN"/>
              </w:rPr>
              <w:t>和可</w:t>
            </w:r>
            <w:r>
              <w:rPr>
                <w:rFonts w:hint="eastAsia"/>
              </w:rPr>
              <w:t>追溯程序》、</w:t>
            </w:r>
            <w:r>
              <w:rPr/>
              <w:sym w:font="Wingdings" w:char="00FE"/>
            </w:r>
            <w:r>
              <w:t>《应急准备和响应程序》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88" w:type="dxa"/>
            <w:gridSpan w:val="2"/>
            <w:vMerge w:val="continue"/>
          </w:tcPr>
          <w:p/>
        </w:tc>
        <w:tc>
          <w:tcPr>
            <w:tcW w:w="922" w:type="dxa"/>
            <w:vMerge w:val="continue"/>
          </w:tcPr>
          <w:p/>
        </w:tc>
        <w:tc>
          <w:tcPr>
            <w:tcW w:w="745" w:type="dxa"/>
          </w:tcPr>
          <w:p>
            <w:r>
              <w:t>运行证据</w:t>
            </w:r>
          </w:p>
        </w:tc>
        <w:tc>
          <w:tcPr>
            <w:tcW w:w="9653" w:type="dxa"/>
          </w:tcPr>
          <w:p>
            <w:pPr>
              <w:rPr>
                <w:highlight w:val="none"/>
              </w:rPr>
            </w:pPr>
            <w:r>
              <w:rPr>
                <w:highlight w:val="none"/>
              </w:rPr>
              <w:t>有权决定撤回/召回人员：</w:t>
            </w:r>
            <w:r>
              <w:rPr>
                <w:rFonts w:hint="eastAsia"/>
                <w:highlight w:val="none"/>
                <w:u w:val="single"/>
              </w:rPr>
              <w:t xml:space="preserve"> </w:t>
            </w:r>
            <w:r>
              <w:rPr>
                <w:highlight w:val="none"/>
                <w:u w:val="single"/>
              </w:rPr>
              <w:t xml:space="preserve"> </w:t>
            </w:r>
            <w:r>
              <w:rPr>
                <w:rFonts w:hint="eastAsia"/>
                <w:highlight w:val="none"/>
                <w:u w:val="single"/>
                <w:lang w:val="en-US" w:eastAsia="zh-CN"/>
              </w:rPr>
              <w:t>总经理或食品安全小组组长</w:t>
            </w:r>
            <w:r>
              <w:rPr>
                <w:highlight w:val="none"/>
                <w:u w:val="single"/>
              </w:rPr>
              <w:t xml:space="preserve">  </w:t>
            </w:r>
            <w:r>
              <w:rPr>
                <w:highlight w:val="none"/>
              </w:rPr>
              <w:t xml:space="preserve">；  </w:t>
            </w:r>
          </w:p>
          <w:p>
            <w:pPr>
              <w:rPr>
                <w:highlight w:val="none"/>
              </w:rPr>
            </w:pPr>
            <w:r>
              <w:rPr>
                <w:highlight w:val="none"/>
              </w:rPr>
              <w:t>确保及时撤回/召回被确定为潜在不安全的大量最终产品。</w:t>
            </w:r>
          </w:p>
          <w:p>
            <w:pPr>
              <w:rPr>
                <w:highlight w:val="none"/>
              </w:rPr>
            </w:pPr>
            <w:r>
              <w:rPr>
                <w:highlight w:val="none"/>
              </w:rP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193" w:type="dxa"/>
                  <w:shd w:val="clear" w:color="auto" w:fill="auto"/>
                </w:tcPr>
                <w:p>
                  <w:pPr>
                    <w:rPr>
                      <w:highlight w:val="none"/>
                    </w:rPr>
                  </w:pPr>
                  <w:r>
                    <w:rPr>
                      <w:highlight w:val="none"/>
                    </w:rPr>
                    <w:t>实施责任部门</w:t>
                  </w:r>
                </w:p>
              </w:tc>
              <w:tc>
                <w:tcPr>
                  <w:tcW w:w="3015" w:type="dxa"/>
                  <w:shd w:val="clear" w:color="auto" w:fill="auto"/>
                </w:tcPr>
                <w:p>
                  <w:pPr>
                    <w:rPr>
                      <w:highlight w:val="none"/>
                    </w:rPr>
                  </w:pPr>
                  <w:r>
                    <w:rPr>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highlight w:val="none"/>
                    </w:rPr>
                    <w:t>通知法定和监管机构</w:t>
                  </w:r>
                </w:p>
              </w:tc>
              <w:tc>
                <w:tcPr>
                  <w:tcW w:w="2193" w:type="dxa"/>
                  <w:shd w:val="clear" w:color="auto" w:fill="auto"/>
                </w:tcPr>
                <w:p>
                  <w:pPr>
                    <w:rPr>
                      <w:rFonts w:hint="eastAsia" w:eastAsia="宋体"/>
                      <w:highlight w:val="none"/>
                      <w:lang w:val="en-US" w:eastAsia="zh-CN"/>
                    </w:rPr>
                  </w:pPr>
                  <w:r>
                    <w:rPr>
                      <w:highlight w:val="none"/>
                    </w:rPr>
                    <w:t>食品安全小组</w:t>
                  </w:r>
                  <w:r>
                    <w:rPr>
                      <w:rFonts w:hint="eastAsia"/>
                      <w:highlight w:val="none"/>
                      <w:lang w:val="en-US" w:eastAsia="zh-CN"/>
                    </w:rPr>
                    <w:t>组长</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highlight w:val="none"/>
                    </w:rPr>
                    <w:t>通知客户</w:t>
                  </w:r>
                </w:p>
              </w:tc>
              <w:tc>
                <w:tcPr>
                  <w:tcW w:w="2193" w:type="dxa"/>
                  <w:shd w:val="clear" w:color="auto" w:fill="auto"/>
                </w:tcPr>
                <w:p>
                  <w:pPr>
                    <w:rPr>
                      <w:rFonts w:hint="eastAsia" w:eastAsia="宋体"/>
                      <w:highlight w:val="none"/>
                      <w:lang w:eastAsia="zh-CN"/>
                    </w:rPr>
                  </w:pPr>
                  <w:r>
                    <w:rPr>
                      <w:rFonts w:hint="eastAsia"/>
                      <w:highlight w:val="none"/>
                      <w:lang w:val="en-US" w:eastAsia="zh-CN"/>
                    </w:rPr>
                    <w:t>供销部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highlight w:val="none"/>
                    </w:rPr>
                    <w:t>通知消费者</w:t>
                  </w:r>
                </w:p>
              </w:tc>
              <w:tc>
                <w:tcPr>
                  <w:tcW w:w="2193" w:type="dxa"/>
                  <w:shd w:val="clear" w:color="auto" w:fill="auto"/>
                </w:tcPr>
                <w:p>
                  <w:pPr>
                    <w:rPr>
                      <w:rFonts w:hint="eastAsia" w:eastAsia="宋体"/>
                      <w:highlight w:val="none"/>
                      <w:lang w:eastAsia="zh-CN"/>
                    </w:rPr>
                  </w:pPr>
                  <w:r>
                    <w:rPr>
                      <w:rFonts w:hint="eastAsia"/>
                      <w:highlight w:val="none"/>
                      <w:lang w:eastAsia="zh-CN"/>
                    </w:rPr>
                    <w:t>——</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highlight w:val="none"/>
                    </w:rPr>
                    <w:t>处置撤回产品</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生产部、品质技术部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highlight w:val="none"/>
                    </w:rPr>
                    <w:t>处置库存中受影响的批次/批号产品</w:t>
                  </w:r>
                </w:p>
              </w:tc>
              <w:tc>
                <w:tcPr>
                  <w:tcW w:w="2193" w:type="dxa"/>
                  <w:shd w:val="clear" w:color="auto" w:fill="auto"/>
                </w:tcPr>
                <w:p>
                  <w:pPr>
                    <w:rPr>
                      <w:highlight w:val="none"/>
                    </w:rPr>
                  </w:pPr>
                  <w:r>
                    <w:rPr>
                      <w:rFonts w:hint="eastAsia"/>
                      <w:highlight w:val="none"/>
                      <w:lang w:val="en-US" w:eastAsia="zh-CN"/>
                    </w:rPr>
                    <w:t>生产部、品质技术部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highlight w:val="none"/>
                    </w:rPr>
                    <w:t>安排采取措施的顺序</w:t>
                  </w:r>
                </w:p>
              </w:tc>
              <w:tc>
                <w:tcPr>
                  <w:tcW w:w="2193" w:type="dxa"/>
                  <w:shd w:val="clear" w:color="auto" w:fill="auto"/>
                </w:tcPr>
                <w:p>
                  <w:pPr>
                    <w:rPr>
                      <w:highlight w:val="none"/>
                    </w:rPr>
                  </w:pPr>
                  <w:r>
                    <w:rPr>
                      <w:highlight w:val="none"/>
                    </w:rPr>
                    <w:t>食品安全小组</w:t>
                  </w:r>
                </w:p>
              </w:tc>
              <w:tc>
                <w:tcPr>
                  <w:tcW w:w="3015" w:type="dxa"/>
                  <w:shd w:val="clear" w:color="auto" w:fill="auto"/>
                </w:tcPr>
                <w:p>
                  <w:pPr>
                    <w:rPr>
                      <w:highlight w:val="none"/>
                    </w:rPr>
                  </w:pPr>
                </w:p>
              </w:tc>
            </w:tr>
          </w:tbl>
          <w:p>
            <w:pPr>
              <w:rPr>
                <w:rFonts w:hint="eastAsia"/>
                <w:highlight w:val="none"/>
                <w:u w:val="single"/>
                <w:lang w:val="en-US" w:eastAsia="zh-CN"/>
              </w:rPr>
            </w:pPr>
            <w:r>
              <w:rPr>
                <w:rFonts w:hint="eastAsia"/>
                <w:highlight w:val="none"/>
                <w:u w:val="single"/>
                <w:lang w:val="en-US" w:eastAsia="zh-CN"/>
              </w:rPr>
              <w:t>——上述撤回召回职责及分工审核周期内未发生变化。</w:t>
            </w:r>
          </w:p>
          <w:p>
            <w:pPr>
              <w:pStyle w:val="6"/>
              <w:rPr>
                <w:rFonts w:hint="default"/>
                <w:lang w:val="en-US" w:eastAsia="zh-CN"/>
              </w:rPr>
            </w:pPr>
          </w:p>
          <w:p>
            <w:pPr>
              <w:rPr>
                <w:highlight w:val="none"/>
              </w:rPr>
            </w:pPr>
            <w:r>
              <w:rPr>
                <w:highlight w:val="none"/>
              </w:rPr>
              <w:t>本部门是否发生产品的</w:t>
            </w:r>
            <w:r>
              <w:rPr>
                <w:highlight w:val="none"/>
              </w:rPr>
              <w:sym w:font="Wingdings" w:char="00A8"/>
            </w:r>
            <w:r>
              <w:rPr>
                <w:highlight w:val="none"/>
              </w:rPr>
              <w:t>撤回或</w:t>
            </w:r>
            <w:r>
              <w:rPr>
                <w:highlight w:val="none"/>
              </w:rPr>
              <w:sym w:font="Wingdings" w:char="00A8"/>
            </w:r>
            <w:r>
              <w:rPr>
                <w:highlight w:val="none"/>
              </w:rPr>
              <w:t>召回的情况：</w:t>
            </w:r>
          </w:p>
          <w:p>
            <w:pPr>
              <w:rPr>
                <w:highlight w:val="none"/>
                <w:u w:val="single"/>
              </w:rPr>
            </w:pPr>
            <w:r>
              <w:rPr>
                <w:highlight w:val="none"/>
              </w:rPr>
              <w:sym w:font="Wingdings" w:char="00FE"/>
            </w:r>
            <w:r>
              <w:rPr>
                <w:highlight w:val="none"/>
              </w:rPr>
              <w:t xml:space="preserve">未发生 </w:t>
            </w:r>
            <w:r>
              <w:rPr>
                <w:highlight w:val="none"/>
              </w:rPr>
              <w:sym w:font="Wingdings" w:char="00A8"/>
            </w:r>
            <w:r>
              <w:rPr>
                <w:highlight w:val="none"/>
              </w:rPr>
              <w:t>已发生，说明</w:t>
            </w:r>
            <w:r>
              <w:rPr>
                <w:highlight w:val="none"/>
                <w:u w:val="single"/>
              </w:rPr>
              <w:t xml:space="preserve">                       </w:t>
            </w:r>
          </w:p>
          <w:p>
            <w:pPr>
              <w:rPr>
                <w:highlight w:val="none"/>
              </w:rPr>
            </w:pPr>
          </w:p>
          <w:p>
            <w:pPr>
              <w:rPr>
                <w:rFonts w:hint="eastAsia"/>
                <w:highlight w:val="none"/>
                <w:lang w:val="en-US" w:eastAsia="zh-CN"/>
              </w:rPr>
            </w:pPr>
            <w:r>
              <w:rPr>
                <w:highlight w:val="none"/>
              </w:rPr>
              <w:t>本部门是否发生产品的撤回或召回方面的处置：</w:t>
            </w:r>
            <w:r>
              <w:rPr>
                <w:rFonts w:hint="eastAsia"/>
                <w:highlight w:val="none"/>
                <w:lang w:eastAsia="zh-CN"/>
              </w:rPr>
              <w:t>——</w:t>
            </w:r>
            <w:r>
              <w:rPr>
                <w:rFonts w:hint="eastAsia"/>
                <w:highlight w:val="none"/>
                <w:lang w:val="en-US" w:eastAsia="zh-CN"/>
              </w:rPr>
              <w:t>未发生，参加公司组织的召回/撤回追溯演练：</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008"/>
              <w:gridCol w:w="1395"/>
              <w:gridCol w:w="142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r>
                    <w:rPr>
                      <w:rFonts w:hint="eastAsia"/>
                    </w:rPr>
                    <w:t>撤回日期</w:t>
                  </w:r>
                </w:p>
              </w:tc>
              <w:tc>
                <w:tcPr>
                  <w:tcW w:w="1290" w:type="dxa"/>
                  <w:shd w:val="clear" w:color="auto" w:fill="auto"/>
                </w:tcPr>
                <w:p>
                  <w:r>
                    <w:rPr>
                      <w:rFonts w:hint="eastAsia"/>
                    </w:rPr>
                    <w:t>性质</w:t>
                  </w:r>
                </w:p>
              </w:tc>
              <w:tc>
                <w:tcPr>
                  <w:tcW w:w="2008" w:type="dxa"/>
                  <w:shd w:val="clear" w:color="auto" w:fill="auto"/>
                </w:tcPr>
                <w:p>
                  <w:r>
                    <w:rPr>
                      <w:rFonts w:hint="eastAsia"/>
                    </w:rPr>
                    <w:t>撤回原因</w:t>
                  </w:r>
                </w:p>
              </w:tc>
              <w:tc>
                <w:tcPr>
                  <w:tcW w:w="1395" w:type="dxa"/>
                  <w:shd w:val="clear" w:color="auto" w:fill="auto"/>
                </w:tcPr>
                <w:p>
                  <w:r>
                    <w:rPr>
                      <w:rFonts w:hint="eastAsia"/>
                    </w:rPr>
                    <w:t>撤回范围</w:t>
                  </w:r>
                </w:p>
              </w:tc>
              <w:tc>
                <w:tcPr>
                  <w:tcW w:w="1425" w:type="dxa"/>
                  <w:shd w:val="clear" w:color="auto" w:fill="auto"/>
                </w:tcPr>
                <w:p>
                  <w:r>
                    <w:rPr>
                      <w:rFonts w:hint="eastAsia"/>
                    </w:rPr>
                    <w:t>撤回结果</w:t>
                  </w:r>
                </w:p>
              </w:tc>
              <w:tc>
                <w:tcPr>
                  <w:tcW w:w="175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hint="default" w:eastAsia="宋体"/>
                      <w:lang w:val="en-US" w:eastAsia="zh-CN"/>
                    </w:rPr>
                  </w:pPr>
                  <w:r>
                    <w:rPr>
                      <w:rFonts w:hint="eastAsia"/>
                      <w:lang w:val="en-US" w:eastAsia="zh-CN"/>
                    </w:rPr>
                    <w:t>20220725</w:t>
                  </w: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FE"/>
                  </w:r>
                  <w:r>
                    <w:rPr>
                      <w:rFonts w:hint="eastAsia"/>
                    </w:rPr>
                    <w:t>模拟撤回</w:t>
                  </w:r>
                </w:p>
              </w:tc>
              <w:tc>
                <w:tcPr>
                  <w:tcW w:w="2008" w:type="dxa"/>
                  <w:shd w:val="clear" w:color="auto" w:fill="auto"/>
                </w:tcPr>
                <w:p>
                  <w:r>
                    <w:rPr>
                      <w:rFonts w:hint="eastAsia"/>
                      <w:highlight w:val="none"/>
                      <w:lang w:val="en-US" w:eastAsia="zh-CN"/>
                    </w:rPr>
                    <w:t>销售员反应给山东某客户发货的一车产品（重质碳酸钙），该批次白度存在问题（模拟）</w:t>
                  </w:r>
                </w:p>
              </w:tc>
              <w:tc>
                <w:tcPr>
                  <w:tcW w:w="1395" w:type="dxa"/>
                  <w:shd w:val="clear" w:color="auto" w:fill="auto"/>
                </w:tcPr>
                <w:p>
                  <w:pPr>
                    <w:rPr>
                      <w:rFonts w:hint="default" w:eastAsia="宋体"/>
                      <w:lang w:val="en-US" w:eastAsia="zh-CN"/>
                    </w:rPr>
                  </w:pPr>
                  <w:r>
                    <w:rPr>
                      <w:rFonts w:hint="eastAsia"/>
                    </w:rPr>
                    <w:t>已发货</w:t>
                  </w:r>
                  <w:r>
                    <w:rPr>
                      <w:rFonts w:hint="eastAsia"/>
                      <w:lang w:val="en-US" w:eastAsia="zh-CN"/>
                    </w:rPr>
                    <w:t>32吨全部召回</w:t>
                  </w:r>
                </w:p>
              </w:tc>
              <w:tc>
                <w:tcPr>
                  <w:tcW w:w="1425" w:type="dxa"/>
                  <w:shd w:val="clear" w:color="auto" w:fill="auto"/>
                </w:tcPr>
                <w:p>
                  <w:pPr>
                    <w:rPr>
                      <w:rFonts w:hint="eastAsia" w:eastAsia="宋体"/>
                      <w:lang w:eastAsia="zh-CN"/>
                    </w:rPr>
                  </w:pPr>
                  <w:r>
                    <w:rPr>
                      <w:rFonts w:hint="eastAsia"/>
                    </w:rPr>
                    <w:t>已全部</w:t>
                  </w:r>
                  <w:r>
                    <w:rPr>
                      <w:rFonts w:hint="eastAsia"/>
                      <w:lang w:val="en-US" w:eastAsia="zh-CN"/>
                    </w:rPr>
                    <w:t>召回</w:t>
                  </w:r>
                </w:p>
              </w:tc>
              <w:tc>
                <w:tcPr>
                  <w:tcW w:w="1750" w:type="dxa"/>
                  <w:shd w:val="clear" w:color="auto" w:fill="auto"/>
                </w:tcPr>
                <w:p>
                  <w:pPr>
                    <w:rPr>
                      <w:rFonts w:hint="default" w:eastAsia="宋体"/>
                      <w:lang w:val="en-US" w:eastAsia="zh-CN"/>
                    </w:rPr>
                  </w:pPr>
                  <w:r>
                    <w:rPr>
                      <w:rFonts w:hint="eastAsia"/>
                    </w:rPr>
                    <w:sym w:font="Wingdings" w:char="00FE"/>
                  </w:r>
                  <w:r>
                    <w:rPr>
                      <w:rFonts w:hint="eastAsia"/>
                    </w:rPr>
                    <w:t>流程</w:t>
                  </w:r>
                  <w:r>
                    <w:rPr>
                      <w:rFonts w:hint="eastAsia"/>
                      <w:lang w:val="en-US" w:eastAsia="zh-CN"/>
                    </w:rPr>
                    <w:t>基本</w:t>
                  </w:r>
                  <w:r>
                    <w:rPr>
                      <w:rFonts w:hint="eastAsia"/>
                    </w:rPr>
                    <w:t xml:space="preserve">有效 </w:t>
                  </w:r>
                  <w:r>
                    <w:rPr>
                      <w:rFonts w:hint="eastAsia"/>
                      <w:lang w:eastAsia="zh-CN"/>
                    </w:rPr>
                    <w:t>，</w:t>
                  </w:r>
                  <w:r>
                    <w:rPr>
                      <w:rFonts w:hint="eastAsia"/>
                      <w:lang w:val="en-US" w:eastAsia="zh-CN"/>
                    </w:rPr>
                    <w:t>召回未明确产品批次信息，已与企业沟通</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008" w:type="dxa"/>
                  <w:shd w:val="clear" w:color="auto" w:fill="auto"/>
                </w:tcPr>
                <w:p/>
              </w:tc>
              <w:tc>
                <w:tcPr>
                  <w:tcW w:w="1395" w:type="dxa"/>
                  <w:shd w:val="clear" w:color="auto" w:fill="auto"/>
                </w:tcPr>
                <w:p/>
              </w:tc>
              <w:tc>
                <w:tcPr>
                  <w:tcW w:w="1425" w:type="dxa"/>
                  <w:shd w:val="clear" w:color="auto" w:fill="auto"/>
                </w:tcPr>
                <w:p/>
              </w:tc>
              <w:tc>
                <w:tcPr>
                  <w:tcW w:w="1750"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Pr>
              <w:pStyle w:val="6"/>
              <w:rPr>
                <w:rFonts w:hint="eastAsia"/>
                <w:highlight w:val="none"/>
                <w:lang w:val="en-US" w:eastAsia="zh-CN"/>
              </w:rPr>
            </w:pPr>
          </w:p>
          <w:p>
            <w:pPr>
              <w:pStyle w:val="6"/>
              <w:rPr>
                <w:rFonts w:hint="eastAsia"/>
                <w:highlight w:val="none"/>
                <w:lang w:val="en-US" w:eastAsia="zh-C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w:t>
            </w:r>
            <w:r>
              <w:rPr>
                <w:u w:val="single"/>
              </w:rPr>
              <w:t>《产品召回记录》</w:t>
            </w:r>
            <w:r>
              <w:t>， 并向最高管理者报告， 作为管理评审的输入。</w:t>
            </w:r>
          </w:p>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shd w:val="clear" w:color="auto" w:fill="auto"/>
          </w:tcPr>
          <w:p>
            <w:r>
              <w:t>危害分析</w:t>
            </w:r>
          </w:p>
        </w:tc>
        <w:tc>
          <w:tcPr>
            <w:tcW w:w="922" w:type="dxa"/>
            <w:vMerge w:val="restart"/>
            <w:shd w:val="clear" w:color="auto" w:fill="auto"/>
          </w:tcPr>
          <w:p>
            <w:r>
              <w:t>F8.5.2</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pPr>
              <w:rPr>
                <w:rFonts w:hint="default" w:eastAsia="宋体"/>
                <w:lang w:val="en-US" w:eastAsia="zh-CN"/>
              </w:rPr>
            </w:pPr>
            <w:r>
              <w:t>食品安全小组于</w:t>
            </w:r>
            <w:r>
              <w:rPr>
                <w:u w:val="single"/>
              </w:rPr>
              <w:t xml:space="preserve">  202</w:t>
            </w:r>
            <w:r>
              <w:rPr>
                <w:rFonts w:hint="eastAsia"/>
                <w:u w:val="single"/>
                <w:lang w:val="en-US" w:eastAsia="zh-CN"/>
              </w:rPr>
              <w:t>2</w:t>
            </w:r>
            <w:r>
              <w:rPr>
                <w:u w:val="single"/>
              </w:rPr>
              <w:t xml:space="preserve"> </w:t>
            </w:r>
            <w:r>
              <w:t>年</w:t>
            </w:r>
            <w:r>
              <w:rPr>
                <w:u w:val="single"/>
              </w:rPr>
              <w:t xml:space="preserve"> 6</w:t>
            </w:r>
            <w:r>
              <w:t>月</w:t>
            </w:r>
            <w:r>
              <w:rPr>
                <w:u w:val="single"/>
              </w:rPr>
              <w:t xml:space="preserve"> 1</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方解石</w:t>
                  </w:r>
                </w:p>
              </w:tc>
              <w:tc>
                <w:tcPr>
                  <w:tcW w:w="3136" w:type="dxa"/>
                  <w:shd w:val="clear" w:color="auto" w:fill="auto"/>
                  <w:vAlign w:val="center"/>
                </w:tcPr>
                <w:p>
                  <w:pPr>
                    <w:jc w:val="center"/>
                    <w:rPr>
                      <w:bCs/>
                      <w:sz w:val="18"/>
                      <w:szCs w:val="18"/>
                      <w:lang w:val="en-GB"/>
                    </w:rPr>
                  </w:pPr>
                  <w:r>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ym w:font="Wingdings" w:char="00A8"/>
                  </w:r>
                  <w:r>
                    <w:rPr>
                      <w:bCs/>
                      <w:sz w:val="18"/>
                      <w:szCs w:val="18"/>
                      <w:lang w:val="en-GB"/>
                    </w:rPr>
                    <w:t>农药残留</w:t>
                  </w:r>
                  <w:r>
                    <w:rPr>
                      <w:bCs/>
                      <w:sz w:val="18"/>
                      <w:szCs w:val="18"/>
                    </w:rPr>
                    <w:t xml:space="preserve"> </w:t>
                  </w:r>
                  <w:r>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或</w:t>
                  </w:r>
                  <w:r>
                    <w:rPr>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rFonts w:hint="eastAsia"/>
                      <w:bCs/>
                      <w:sz w:val="18"/>
                      <w:szCs w:val="18"/>
                    </w:rPr>
                    <w:t>P</w:t>
                  </w:r>
                  <w:r>
                    <w:rPr>
                      <w:bCs/>
                      <w:sz w:val="18"/>
                      <w:szCs w:val="18"/>
                    </w:rPr>
                    <w:t>E</w:t>
                  </w:r>
                  <w:r>
                    <w:rPr>
                      <w:rFonts w:hint="eastAsia"/>
                      <w:bCs/>
                      <w:sz w:val="18"/>
                      <w:szCs w:val="18"/>
                    </w:rPr>
                    <w:t>膜（内袋）</w:t>
                  </w:r>
                  <w:r>
                    <w:rPr>
                      <w:rFonts w:hint="eastAsia"/>
                      <w:bCs/>
                      <w:sz w:val="18"/>
                      <w:szCs w:val="18"/>
                      <w:lang w:eastAsia="zh-CN"/>
                    </w:rPr>
                    <w:t>、</w:t>
                  </w:r>
                  <w:r>
                    <w:rPr>
                      <w:rFonts w:hint="eastAsia"/>
                      <w:bCs/>
                      <w:sz w:val="18"/>
                      <w:szCs w:val="18"/>
                      <w:lang w:val="en-US" w:eastAsia="zh-CN"/>
                    </w:rPr>
                    <w:t>塑料编织袋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rFonts w:hint="eastAsia"/>
                      <w:bCs/>
                      <w:sz w:val="18"/>
                      <w:szCs w:val="18"/>
                      <w:lang w:val="en-US" w:eastAsia="zh-CN"/>
                    </w:rPr>
                    <w:t>生产加工用水</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pPr>
                  <w:r>
                    <w:rPr/>
                    <w:sym w:font="Wingdings" w:char="00A8"/>
                  </w:r>
                  <w:r>
                    <w:t>向供方索取检测报告</w:t>
                  </w:r>
                </w:p>
                <w:p>
                  <w:pPr>
                    <w:autoSpaceDE w:val="0"/>
                    <w:autoSpaceDN w:val="0"/>
                    <w:adjustRightInd w:val="0"/>
                    <w:jc w:val="center"/>
                    <w:rPr>
                      <w:rFonts w:hint="default"/>
                      <w:lang w:val="en-US" w:eastAsia="zh-CN"/>
                    </w:rPr>
                  </w:pPr>
                  <w:r>
                    <w:rPr/>
                    <w:sym w:font="Wingdings" w:char="00FE"/>
                  </w:r>
                  <w:r>
                    <w:t>企业</w:t>
                  </w:r>
                  <w:r>
                    <w:rPr>
                      <w:rFonts w:hint="eastAsia"/>
                      <w:lang w:val="en-US" w:eastAsia="zh-CN"/>
                    </w:rPr>
                    <w:t>委托第三方进行检测</w:t>
                  </w:r>
                </w:p>
                <w:p>
                  <w:pPr>
                    <w:autoSpaceDE w:val="0"/>
                    <w:autoSpaceDN w:val="0"/>
                    <w:adjustRightInd w:val="0"/>
                    <w:jc w:val="center"/>
                  </w:pPr>
                  <w:r>
                    <w:rPr/>
                    <w:sym w:font="Wingdings" w:char="00A8"/>
                  </w:r>
                  <w:r>
                    <w:t>第三方检测报告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rPr>
                  </w:pPr>
                </w:p>
              </w:tc>
              <w:tc>
                <w:tcPr>
                  <w:tcW w:w="3245" w:type="dxa"/>
                  <w:shd w:val="clear" w:color="auto" w:fill="auto"/>
                  <w:vAlign w:val="center"/>
                </w:tcPr>
                <w:p>
                  <w:pPr>
                    <w:autoSpaceDE w:val="0"/>
                    <w:autoSpaceDN w:val="0"/>
                    <w:adjustRightInd w:val="0"/>
                    <w:jc w:val="center"/>
                    <w:rPr>
                      <w:sz w:val="18"/>
                      <w:szCs w:val="18"/>
                    </w:rPr>
                  </w:pPr>
                </w:p>
              </w:tc>
            </w:tr>
          </w:tbl>
          <w:p>
            <w:pPr>
              <w:rPr>
                <w:bCs/>
              </w:rPr>
            </w:pPr>
          </w:p>
          <w:p>
            <w:pPr>
              <w:tabs>
                <w:tab w:val="right" w:pos="3119"/>
              </w:tabs>
              <w:rPr>
                <w:b/>
              </w:rPr>
            </w:pPr>
            <w:r>
              <w:rPr>
                <w:b/>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US" w:eastAsia="zh-CN"/>
                    </w:rPr>
                    <w:t>碳酸钙（</w:t>
                  </w:r>
                  <w:r>
                    <w:rPr>
                      <w:rFonts w:hint="eastAsia"/>
                      <w:bCs/>
                      <w:lang w:val="en-GB"/>
                    </w:rPr>
                    <w:t>重质碳酸钙</w:t>
                  </w:r>
                  <w:r>
                    <w:rPr>
                      <w:rFonts w:hint="eastAsia"/>
                      <w:bCs/>
                      <w:lang w:val="en-US" w:eastAsia="zh-CN"/>
                    </w:rPr>
                    <w:t>）</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bCs/>
                      <w:lang w:val="en-GB"/>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2"/>
                    <w:rPr>
                      <w:lang w:val="en-GB"/>
                    </w:rPr>
                  </w:pPr>
                  <w:r>
                    <w:rPr>
                      <w:rFonts w:ascii="Times New Roman" w:hAnsi="Times New Roman"/>
                    </w:rPr>
                    <w:sym w:font="Wingdings" w:char="00A8"/>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加工用水/冰/蒸汽</w:t>
            </w:r>
            <w:r>
              <w:rPr>
                <w:rFonts w:hint="eastAsia"/>
              </w:rPr>
              <w:t xml:space="preserve"> </w:t>
            </w:r>
            <w:r>
              <w:t xml:space="preserve"> </w:t>
            </w:r>
            <w:r>
              <w:rPr/>
              <w:sym w:font="Wingdings" w:char="00A8"/>
            </w:r>
            <w:r>
              <w:t xml:space="preserve">接触面  </w:t>
            </w:r>
            <w:r>
              <w:rPr/>
              <w:sym w:font="Wingdings" w:char="00FE"/>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lang w:val="en-US" w:eastAsia="zh-CN"/>
              </w:rPr>
              <w:t>化学品污染、雨淋等</w:t>
            </w:r>
            <w:r>
              <w:rPr>
                <w:u w:val="single"/>
              </w:rPr>
              <w:t xml:space="preserve">   </w:t>
            </w:r>
          </w:p>
          <w:p>
            <w:pPr>
              <w:pStyle w:val="2"/>
              <w:ind w:left="0" w:firstLine="0" w:firstLineChars="0"/>
              <w:rPr>
                <w:rFonts w:ascii="Times New Roman" w:hAnsi="Times New Roman"/>
              </w:rPr>
            </w:pPr>
          </w:p>
          <w:p>
            <w:pPr>
              <w:rPr>
                <w:color w:val="FF0000"/>
              </w:rPr>
            </w:pPr>
            <w: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重质碳酸钙中铅、砷等重金属指标</w:t>
                  </w:r>
                </w:p>
              </w:tc>
              <w:tc>
                <w:tcPr>
                  <w:tcW w:w="4263" w:type="dxa"/>
                  <w:shd w:val="clear" w:color="auto" w:fill="auto"/>
                  <w:vAlign w:val="center"/>
                </w:tcPr>
                <w:p>
                  <w:pPr>
                    <w:rPr>
                      <w:bCs/>
                      <w:szCs w:val="21"/>
                    </w:rPr>
                  </w:pPr>
                  <w:r>
                    <w:rPr>
                      <w:rFonts w:hint="eastAsia"/>
                      <w:bCs/>
                      <w:szCs w:val="21"/>
                    </w:rPr>
                    <w:t>按照GB 1886.214-2016《食品安全国家标准 食品添加剂 碳酸钙（包括轻质和重质碳酸钙）》执行，目测正常。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接触面（车辆等）</w:t>
                  </w:r>
                </w:p>
              </w:tc>
              <w:tc>
                <w:tcPr>
                  <w:tcW w:w="4263" w:type="dxa"/>
                  <w:shd w:val="clear" w:color="auto" w:fill="auto"/>
                  <w:vAlign w:val="bottom"/>
                </w:tcPr>
                <w:p>
                  <w:pPr>
                    <w:rPr>
                      <w:rFonts w:hint="default" w:eastAsia="宋体"/>
                      <w:bCs/>
                      <w:lang w:val="en-US" w:eastAsia="zh-CN"/>
                    </w:rPr>
                  </w:pPr>
                  <w:r>
                    <w:rPr>
                      <w:rFonts w:hint="eastAsia"/>
                      <w:bCs/>
                      <w:lang w:val="en-US" w:eastAsia="zh-CN"/>
                    </w:rPr>
                    <w:t>感官检查清洁干净等</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pPr>
              <w:rPr>
                <w:rFonts w:hint="default" w:eastAsia="宋体"/>
                <w:color w:val="0000FF"/>
                <w:u w:val="single"/>
                <w:lang w:val="en-US" w:eastAsia="zh-CN"/>
              </w:rPr>
            </w:pPr>
            <w:r>
              <w:rPr/>
              <w:sym w:font="Wingdings" w:char="00FE"/>
            </w:r>
            <w:r>
              <w:t>已收集相关法规</w:t>
            </w:r>
            <w:r>
              <w:rPr>
                <w:rFonts w:hint="eastAsia"/>
                <w:lang w:eastAsia="zh-CN"/>
              </w:rPr>
              <w:t>，</w:t>
            </w:r>
            <w:r>
              <w:rPr>
                <w:rFonts w:hint="eastAsia"/>
                <w:color w:val="0000FF"/>
                <w:u w:val="single"/>
                <w:lang w:val="en-US" w:eastAsia="zh-CN"/>
              </w:rPr>
              <w:t>见办公室审核记录</w:t>
            </w:r>
          </w:p>
          <w:p>
            <w:r>
              <w:rPr/>
              <w:sym w:font="Wingdings" w:char="00A8"/>
            </w:r>
            <w:r>
              <w:t>未收集相关法规</w:t>
            </w:r>
          </w:p>
          <w:p>
            <w:r>
              <w:rPr/>
              <w:sym w:font="Wingdings" w:char="00A8"/>
            </w:r>
            <w:r>
              <w:t>收集相关法规不全面，说明：</w:t>
            </w:r>
            <w:r>
              <w:rPr>
                <w:u w:val="single"/>
              </w:rPr>
              <w:t xml:space="preserve">                  </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8" w:type="dxa"/>
            <w:gridSpan w:val="2"/>
            <w:vMerge w:val="restart"/>
            <w:shd w:val="clear" w:color="auto" w:fill="auto"/>
          </w:tcPr>
          <w:p>
            <w:r>
              <w:t>控制措施组合的确认</w:t>
            </w:r>
          </w:p>
        </w:tc>
        <w:tc>
          <w:tcPr>
            <w:tcW w:w="922" w:type="dxa"/>
            <w:vMerge w:val="restart"/>
            <w:shd w:val="clear" w:color="auto" w:fill="auto"/>
          </w:tcPr>
          <w:p>
            <w:r>
              <w:t>F8.5.3</w:t>
            </w:r>
          </w:p>
        </w:tc>
        <w:tc>
          <w:tcPr>
            <w:tcW w:w="745" w:type="dxa"/>
            <w:shd w:val="clear" w:color="auto" w:fill="auto"/>
          </w:tcPr>
          <w:p>
            <w:pPr>
              <w:rPr>
                <w:rFonts w:hint="default" w:eastAsia="宋体"/>
                <w:lang w:val="en-US" w:eastAsia="zh-CN"/>
              </w:rPr>
            </w:pPr>
            <w:r>
              <w:rPr>
                <w:rFonts w:hint="eastAsia"/>
                <w:lang w:val="en-US" w:eastAsia="zh-CN"/>
              </w:rPr>
              <w:t>文件证据</w:t>
            </w: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504"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hint="eastAsia" w:ascii="宋体" w:hAnsi="宋体"/>
                <w:b/>
                <w:bCs/>
                <w:szCs w:val="21"/>
                <w:highlight w:val="none"/>
                <w:u w:val="single"/>
              </w:rPr>
            </w:pPr>
            <w:r>
              <w:rPr>
                <w:rFonts w:hint="eastAsia" w:ascii="宋体" w:hAnsi="宋体"/>
                <w:b/>
                <w:bCs/>
                <w:szCs w:val="21"/>
                <w:highlight w:val="none"/>
                <w:u w:val="single"/>
              </w:rPr>
              <w:t>有《</w:t>
            </w:r>
            <w:r>
              <w:rPr>
                <w:rFonts w:hint="eastAsia" w:ascii="宋体" w:hAnsi="宋体"/>
                <w:b/>
                <w:bCs/>
                <w:szCs w:val="21"/>
                <w:highlight w:val="none"/>
                <w:u w:val="single"/>
                <w:lang w:val="en-US" w:eastAsia="zh-CN"/>
              </w:rPr>
              <w:t>危害控制计划确认</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2</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8</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20</w:t>
            </w:r>
            <w:r>
              <w:rPr>
                <w:rFonts w:hint="eastAsia" w:ascii="宋体" w:hAnsi="宋体"/>
                <w:b/>
                <w:bCs/>
                <w:szCs w:val="21"/>
                <w:highlight w:val="none"/>
                <w:u w:val="single"/>
              </w:rPr>
              <w:t>日，结论：控制有效</w:t>
            </w:r>
          </w:p>
          <w:p>
            <w:pPr>
              <w:pStyle w:val="6"/>
            </w:pPr>
          </w:p>
          <w:tbl>
            <w:tblPr>
              <w:tblStyle w:val="1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125"/>
              <w:gridCol w:w="1056"/>
              <w:gridCol w:w="1355"/>
              <w:gridCol w:w="127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日期</w:t>
                  </w:r>
                </w:p>
              </w:tc>
              <w:tc>
                <w:tcPr>
                  <w:tcW w:w="2125"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样品名称/批次</w:t>
                  </w:r>
                </w:p>
              </w:tc>
              <w:tc>
                <w:tcPr>
                  <w:tcW w:w="105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送检方式</w:t>
                  </w:r>
                </w:p>
              </w:tc>
              <w:tc>
                <w:tcPr>
                  <w:tcW w:w="1355" w:type="dxa"/>
                </w:tcPr>
                <w:p>
                  <w:pPr>
                    <w:rPr>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报告编号</w:t>
                  </w:r>
                </w:p>
              </w:tc>
              <w:tc>
                <w:tcPr>
                  <w:tcW w:w="127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报告日期</w:t>
                  </w:r>
                </w:p>
              </w:tc>
              <w:tc>
                <w:tcPr>
                  <w:tcW w:w="2073"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2-05-24</w:t>
                  </w:r>
                </w:p>
              </w:tc>
              <w:tc>
                <w:tcPr>
                  <w:tcW w:w="2125"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食品添加剂 碳酸钙（重质碳酸钙）</w:t>
                  </w:r>
                </w:p>
              </w:tc>
              <w:tc>
                <w:tcPr>
                  <w:tcW w:w="105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送检</w:t>
                  </w:r>
                </w:p>
              </w:tc>
              <w:tc>
                <w:tcPr>
                  <w:tcW w:w="1355" w:type="dxa"/>
                </w:tcPr>
                <w:p>
                  <w:pPr>
                    <w:rPr>
                      <w:rFonts w:hint="default" w:ascii="宋体" w:hAnsi="宋体" w:eastAsia="宋体"/>
                      <w:sz w:val="18"/>
                      <w:highlight w:val="none"/>
                      <w:lang w:val="en-US" w:eastAsia="zh-CN"/>
                    </w:rPr>
                  </w:pPr>
                  <w:r>
                    <w:rPr>
                      <w:rFonts w:hint="default" w:ascii="宋体" w:hAnsi="宋体" w:eastAsia="宋体"/>
                      <w:sz w:val="18"/>
                      <w:highlight w:val="none"/>
                      <w:lang w:val="en-US" w:eastAsia="zh-CN"/>
                    </w:rPr>
                    <w:t>编号：G22-002524</w:t>
                  </w:r>
                </w:p>
                <w:p>
                  <w:pPr>
                    <w:rPr>
                      <w:rFonts w:hint="default" w:ascii="宋体" w:hAnsi="宋体" w:eastAsia="宋体"/>
                      <w:sz w:val="18"/>
                      <w:highlight w:val="none"/>
                      <w:lang w:val="en-US" w:eastAsia="zh-CN"/>
                    </w:rPr>
                  </w:pPr>
                </w:p>
              </w:tc>
              <w:tc>
                <w:tcPr>
                  <w:tcW w:w="127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2-05-24</w:t>
                  </w:r>
                </w:p>
              </w:tc>
              <w:tc>
                <w:tcPr>
                  <w:tcW w:w="2073"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p>
              </w:tc>
              <w:tc>
                <w:tcPr>
                  <w:tcW w:w="2125" w:type="dxa"/>
                </w:tcPr>
                <w:p>
                  <w:pPr>
                    <w:rPr>
                      <w:rFonts w:hint="eastAsia"/>
                      <w:color w:val="000000" w:themeColor="text1"/>
                      <w:sz w:val="18"/>
                      <w:szCs w:val="18"/>
                      <w14:textFill>
                        <w14:solidFill>
                          <w14:schemeClr w14:val="tx1"/>
                        </w14:solidFill>
                      </w14:textFill>
                    </w:rPr>
                  </w:pPr>
                </w:p>
              </w:tc>
              <w:tc>
                <w:tcPr>
                  <w:tcW w:w="1056" w:type="dxa"/>
                </w:tcPr>
                <w:p>
                  <w:pPr>
                    <w:rPr>
                      <w:color w:val="000000" w:themeColor="text1"/>
                      <w:sz w:val="18"/>
                      <w:szCs w:val="18"/>
                      <w14:textFill>
                        <w14:solidFill>
                          <w14:schemeClr w14:val="tx1"/>
                        </w14:solidFill>
                      </w14:textFill>
                    </w:rPr>
                  </w:pPr>
                </w:p>
              </w:tc>
              <w:tc>
                <w:tcPr>
                  <w:tcW w:w="1355" w:type="dxa"/>
                </w:tcPr>
                <w:p>
                  <w:pPr>
                    <w:rPr>
                      <w:rFonts w:hint="eastAsia" w:ascii="宋体" w:hAnsi="宋体"/>
                      <w:sz w:val="18"/>
                      <w:lang w:val="en-US" w:eastAsia="zh-CN"/>
                    </w:rPr>
                  </w:pPr>
                </w:p>
              </w:tc>
              <w:tc>
                <w:tcPr>
                  <w:tcW w:w="1276" w:type="dxa"/>
                </w:tcPr>
                <w:p>
                  <w:pPr>
                    <w:rPr>
                      <w:color w:val="000000" w:themeColor="text1"/>
                      <w:sz w:val="18"/>
                      <w:szCs w:val="18"/>
                      <w14:textFill>
                        <w14:solidFill>
                          <w14:schemeClr w14:val="tx1"/>
                        </w14:solidFill>
                      </w14:textFill>
                    </w:rPr>
                  </w:pPr>
                </w:p>
              </w:tc>
              <w:tc>
                <w:tcPr>
                  <w:tcW w:w="2073" w:type="dxa"/>
                </w:tcPr>
                <w:p>
                  <w:pPr>
                    <w:rPr>
                      <w:color w:val="000000" w:themeColor="text1"/>
                      <w:sz w:val="18"/>
                      <w:szCs w:val="18"/>
                      <w14:textFill>
                        <w14:solidFill>
                          <w14:schemeClr w14:val="tx1"/>
                        </w14:solidFill>
                      </w14:textFill>
                    </w:rPr>
                  </w:pPr>
                </w:p>
              </w:tc>
            </w:tr>
          </w:tbl>
          <w:p>
            <w:pPr>
              <w:rPr>
                <w:color w:val="000000" w:themeColor="text1"/>
                <w:sz w:val="18"/>
                <w:szCs w:val="18"/>
                <w14:textFill>
                  <w14:solidFill>
                    <w14:schemeClr w14:val="tx1"/>
                  </w14:solidFill>
                </w14:textFill>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shd w:val="clear" w:color="auto" w:fill="auto"/>
          </w:tcPr>
          <w:p>
            <w:pPr>
              <w:jc w:val="left"/>
            </w:pPr>
            <w:r>
              <w:t>危害控制计划 (HACCP/OPRP 计划)</w:t>
            </w:r>
            <w:r>
              <w:br w:type="textWrapping"/>
            </w:r>
          </w:p>
        </w:tc>
        <w:tc>
          <w:tcPr>
            <w:tcW w:w="922" w:type="dxa"/>
            <w:vMerge w:val="restart"/>
            <w:shd w:val="clear" w:color="auto" w:fill="auto"/>
          </w:tcPr>
          <w:p>
            <w:r>
              <w:t>F8.5.4</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pPr>
              <w:pStyle w:val="2"/>
              <w:ind w:left="0" w:leftChars="0" w:firstLine="0" w:firstLineChars="0"/>
            </w:pPr>
          </w:p>
          <w:p>
            <w:pPr>
              <w:spacing w:before="240" w:after="120"/>
              <w:rPr>
                <w:rFonts w:hint="eastAsia"/>
                <w:lang w:val="en-GB" w:eastAsia="zh-CN"/>
              </w:rPr>
            </w:pPr>
            <w:r>
              <w:rPr>
                <w:rFonts w:hint="eastAsia"/>
                <w:lang w:val="en-US" w:eastAsia="zh-CN"/>
              </w:rPr>
              <w:t>碳酸钙（重质碳酸钙）：</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2"/>
              <w:tblW w:w="897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0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blHeader/>
              </w:trPr>
              <w:tc>
                <w:tcPr>
                  <w:tcW w:w="690" w:type="dxa"/>
                  <w:shd w:val="clear" w:color="auto" w:fill="auto"/>
                </w:tcPr>
                <w:p>
                  <w:pPr>
                    <w:pStyle w:val="21"/>
                    <w:rPr>
                      <w:rFonts w:hint="eastAsia"/>
                      <w:sz w:val="21"/>
                      <w:szCs w:val="21"/>
                      <w:lang w:eastAsia="zh-CN"/>
                    </w:rPr>
                  </w:pPr>
                  <w:r>
                    <w:rPr>
                      <w:rFonts w:hint="eastAsia"/>
                      <w:sz w:val="21"/>
                      <w:szCs w:val="21"/>
                      <w:lang w:eastAsia="zh-CN"/>
                    </w:rPr>
                    <w:t>序号</w:t>
                  </w:r>
                </w:p>
              </w:tc>
              <w:tc>
                <w:tcPr>
                  <w:tcW w:w="1178" w:type="dxa"/>
                  <w:shd w:val="clear" w:color="auto" w:fill="auto"/>
                </w:tcPr>
                <w:p>
                  <w:pPr>
                    <w:pStyle w:val="21"/>
                    <w:rPr>
                      <w:rFonts w:hint="eastAsia"/>
                      <w:sz w:val="21"/>
                      <w:szCs w:val="21"/>
                      <w:lang w:eastAsia="zh-CN"/>
                    </w:rPr>
                  </w:pPr>
                  <w:r>
                    <w:rPr>
                      <w:rFonts w:hint="eastAsia"/>
                      <w:sz w:val="21"/>
                      <w:szCs w:val="21"/>
                      <w:lang w:eastAsia="zh-CN"/>
                    </w:rPr>
                    <w:t>过程步骤</w:t>
                  </w:r>
                </w:p>
              </w:tc>
              <w:tc>
                <w:tcPr>
                  <w:tcW w:w="1250" w:type="dxa"/>
                  <w:shd w:val="clear" w:color="auto" w:fill="auto"/>
                </w:tcPr>
                <w:p>
                  <w:pPr>
                    <w:pStyle w:val="21"/>
                    <w:rPr>
                      <w:rFonts w:hint="eastAsia"/>
                      <w:sz w:val="21"/>
                      <w:szCs w:val="21"/>
                      <w:lang w:eastAsia="zh-CN"/>
                    </w:rPr>
                  </w:pPr>
                  <w:r>
                    <w:rPr>
                      <w:rFonts w:hint="eastAsia"/>
                      <w:sz w:val="21"/>
                      <w:szCs w:val="21"/>
                      <w:lang w:eastAsia="zh-CN"/>
                    </w:rPr>
                    <w:t>危害</w:t>
                  </w:r>
                </w:p>
              </w:tc>
              <w:tc>
                <w:tcPr>
                  <w:tcW w:w="1950" w:type="dxa"/>
                  <w:shd w:val="clear" w:color="auto" w:fill="auto"/>
                </w:tcPr>
                <w:p>
                  <w:pPr>
                    <w:pStyle w:val="21"/>
                    <w:rPr>
                      <w:rFonts w:hint="eastAsia"/>
                      <w:sz w:val="21"/>
                      <w:szCs w:val="21"/>
                      <w:lang w:eastAsia="zh-CN"/>
                    </w:rPr>
                  </w:pPr>
                  <w:r>
                    <w:rPr>
                      <w:rFonts w:hint="eastAsia"/>
                      <w:sz w:val="21"/>
                      <w:szCs w:val="21"/>
                      <w:lang w:eastAsia="zh-CN"/>
                    </w:rPr>
                    <w:t xml:space="preserve"> 监控程序</w:t>
                  </w:r>
                </w:p>
              </w:tc>
              <w:tc>
                <w:tcPr>
                  <w:tcW w:w="2902" w:type="dxa"/>
                  <w:shd w:val="clear" w:color="auto" w:fill="auto"/>
                </w:tcPr>
                <w:p>
                  <w:pPr>
                    <w:pStyle w:val="21"/>
                    <w:rPr>
                      <w:rFonts w:hint="default"/>
                      <w:sz w:val="21"/>
                      <w:szCs w:val="21"/>
                      <w:lang w:val="en-US" w:eastAsia="zh-CN"/>
                    </w:rPr>
                  </w:pPr>
                  <w:r>
                    <w:rPr>
                      <w:rFonts w:hint="eastAsia"/>
                      <w:sz w:val="21"/>
                      <w:szCs w:val="21"/>
                      <w:lang w:val="en-US" w:eastAsia="zh-CN"/>
                    </w:rPr>
                    <w:t>行动准则</w:t>
                  </w:r>
                </w:p>
              </w:tc>
              <w:tc>
                <w:tcPr>
                  <w:tcW w:w="1000" w:type="dxa"/>
                  <w:shd w:val="clear" w:color="auto" w:fill="auto"/>
                </w:tcPr>
                <w:p>
                  <w:pPr>
                    <w:pStyle w:val="21"/>
                    <w:rPr>
                      <w:rFonts w:hint="eastAsia"/>
                      <w:sz w:val="21"/>
                      <w:szCs w:val="21"/>
                      <w:lang w:val="fr-FR" w:eastAsia="zh-CN"/>
                    </w:rPr>
                  </w:pPr>
                  <w:r>
                    <w:rPr>
                      <w:rFonts w:hint="eastAsia"/>
                      <w:sz w:val="21"/>
                      <w:szCs w:val="21"/>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vAlign w:val="center"/>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1000" w:type="dxa"/>
                  <w:vMerge w:val="restart"/>
                  <w:tcBorders>
                    <w:top w:val="single" w:color="auto" w:sz="4" w:space="0"/>
                    <w:left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lang w:eastAsia="zh-CN"/>
                    </w:rPr>
                    <w:t>《</w:t>
                  </w:r>
                  <w:r>
                    <w:rPr>
                      <w:rFonts w:hint="eastAsia"/>
                    </w:rPr>
                    <w:t>原材料检验记录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290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1000" w:type="dxa"/>
                  <w:vMerge w:val="continue"/>
                  <w:tcBorders>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p>
              </w:tc>
            </w:tr>
          </w:tbl>
          <w:p>
            <w:pPr>
              <w:pStyle w:val="6"/>
              <w:rPr>
                <w:rFonts w:hint="eastAsia"/>
                <w:lang w:val="en-GB" w:eastAsia="zh-CN"/>
              </w:rPr>
            </w:pPr>
          </w:p>
          <w:tbl>
            <w:tblPr>
              <w:tblStyle w:val="12"/>
              <w:tblW w:w="892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438"/>
              <w:gridCol w:w="176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438"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1760" w:type="dxa"/>
                  <w:shd w:val="clear" w:color="auto" w:fill="auto"/>
                </w:tcPr>
                <w:p>
                  <w:pPr>
                    <w:pStyle w:val="21"/>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1668" w:type="dxa"/>
                  <w:shd w:val="clear" w:color="auto" w:fill="auto"/>
                </w:tcPr>
                <w:p>
                  <w:pPr>
                    <w:pStyle w:val="21"/>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w:t>
                  </w:r>
                  <w:r>
                    <w:rPr>
                      <w:rFonts w:hint="eastAsia" w:ascii="宋体" w:hAnsi="宋体" w:cs="宋体"/>
                      <w:sz w:val="18"/>
                      <w:szCs w:val="18"/>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color w:val="000000"/>
                      <w:kern w:val="0"/>
                      <w:sz w:val="18"/>
                      <w:szCs w:val="18"/>
                      <w:highlight w:val="none"/>
                      <w:lang w:val="en-US" w:eastAsia="zh-CN" w:bidi="ar"/>
                    </w:rPr>
                    <w:t>金属等异物</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作业员每批监控强磁吸附物、强磁磁性</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bookmarkStart w:id="0" w:name="_GoBack"/>
                  <w:r>
                    <w:rPr>
                      <w:rFonts w:hint="eastAsia" w:cs="Times New Roman"/>
                      <w:kern w:val="2"/>
                      <w:sz w:val="18"/>
                      <w:szCs w:val="18"/>
                      <w:highlight w:val="none"/>
                      <w:lang w:val="en-US" w:eastAsia="zh-CN" w:bidi="ar-SA"/>
                    </w:rPr>
                    <w:t>在进料、出料口加装强磁装置，要有所有强磁磁力不小于10000高斯</w:t>
                  </w:r>
                  <w:bookmarkEnd w:id="0"/>
                </w:p>
              </w:tc>
              <w:tc>
                <w:tcPr>
                  <w:tcW w:w="16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21"/>
                      <w:szCs w:val="21"/>
                      <w:highlight w:val="none"/>
                      <w:lang w:val="en-US" w:eastAsia="zh-CN"/>
                    </w:rPr>
                  </w:pPr>
                  <w:r>
                    <w:rPr>
                      <w:rFonts w:hint="eastAsia" w:cs="Times New Roman"/>
                      <w:kern w:val="2"/>
                      <w:sz w:val="21"/>
                      <w:szCs w:val="21"/>
                      <w:highlight w:val="none"/>
                      <w:lang w:val="en-US" w:eastAsia="zh-CN" w:bidi="ar-SA"/>
                    </w:rPr>
                    <w:t>《强磁吸附物清理记录》、《强磁监测记录》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17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color w:val="0000FF"/>
                      <w:sz w:val="18"/>
                      <w:szCs w:val="18"/>
                      <w:lang w:val="en-US"/>
                    </w:rPr>
                  </w:pPr>
                  <w:r>
                    <w:rPr>
                      <w:rFonts w:hint="eastAsia" w:ascii="宋体" w:hAnsi="宋体" w:eastAsia="宋体" w:cs="宋体"/>
                      <w:color w:val="000000"/>
                      <w:kern w:val="0"/>
                      <w:sz w:val="18"/>
                      <w:szCs w:val="18"/>
                      <w:lang w:val="en-US" w:eastAsia="zh-CN" w:bidi="ar"/>
                    </w:rPr>
                    <w:t xml:space="preserve">成品中铅、砷等指标符合 </w:t>
                  </w:r>
                  <w:r>
                    <w:rPr>
                      <w:rFonts w:hint="default" w:ascii="Times New Roman" w:hAnsi="Times New Roman" w:eastAsia="宋体" w:cs="Times New Roman"/>
                      <w:color w:val="000000"/>
                      <w:kern w:val="0"/>
                      <w:sz w:val="18"/>
                      <w:szCs w:val="18"/>
                      <w:lang w:val="en-US" w:eastAsia="zh-CN" w:bidi="ar"/>
                    </w:rPr>
                    <w:t xml:space="preserve">GB1886.214- 2016 </w:t>
                  </w:r>
                  <w:r>
                    <w:rPr>
                      <w:rFonts w:hint="eastAsia" w:ascii="宋体" w:hAnsi="宋体" w:eastAsia="宋体" w:cs="宋体"/>
                      <w:color w:val="000000"/>
                      <w:kern w:val="0"/>
                      <w:sz w:val="18"/>
                      <w:szCs w:val="18"/>
                      <w:lang w:val="en-US" w:eastAsia="zh-CN" w:bidi="ar"/>
                    </w:rPr>
                    <w:t>标准要求</w:t>
                  </w:r>
                  <w:r>
                    <w:rPr>
                      <w:rFonts w:hint="eastAsia" w:ascii="宋体" w:hAnsi="宋体" w:cs="宋体"/>
                      <w:color w:val="000000"/>
                      <w:kern w:val="0"/>
                      <w:sz w:val="18"/>
                      <w:szCs w:val="18"/>
                      <w:lang w:val="en-US" w:eastAsia="zh-CN" w:bidi="ar"/>
                    </w:rPr>
                    <w:t>，As、Pb＜3</w:t>
                  </w:r>
                </w:p>
              </w:tc>
              <w:tc>
                <w:tcPr>
                  <w:tcW w:w="16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21"/>
                      <w:szCs w:val="21"/>
                      <w:lang w:val="en-US" w:eastAsia="zh-CN"/>
                    </w:rPr>
                  </w:pPr>
                  <w:r>
                    <w:rPr>
                      <w:rFonts w:hint="eastAsia" w:ascii="宋体" w:hAnsi="宋体" w:cs="宋体"/>
                      <w:color w:val="0000FF"/>
                      <w:sz w:val="21"/>
                      <w:szCs w:val="21"/>
                      <w:lang w:val="en-US" w:eastAsia="zh-CN"/>
                    </w:rPr>
                    <w:t>《</w:t>
                  </w:r>
                  <w:r>
                    <w:rPr>
                      <w:rFonts w:hint="eastAsia"/>
                      <w:sz w:val="21"/>
                      <w:szCs w:val="21"/>
                    </w:rPr>
                    <w:t>成品检验记录</w:t>
                  </w:r>
                  <w:r>
                    <w:rPr>
                      <w:rFonts w:hint="eastAsia" w:ascii="宋体" w:hAnsi="宋体" w:cs="宋体"/>
                      <w:color w:val="0000FF"/>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438" w:type="dxa"/>
                </w:tcPr>
                <w:p>
                  <w:pPr>
                    <w:jc w:val="left"/>
                    <w:rPr>
                      <w:rFonts w:hint="eastAsia" w:ascii="宋体" w:hAnsi="宋体" w:eastAsia="宋体" w:cs="宋体"/>
                      <w:bCs/>
                      <w:color w:val="0000FF"/>
                      <w:sz w:val="18"/>
                      <w:szCs w:val="18"/>
                    </w:rPr>
                  </w:pPr>
                </w:p>
              </w:tc>
              <w:tc>
                <w:tcPr>
                  <w:tcW w:w="1760" w:type="dxa"/>
                </w:tcPr>
                <w:p>
                  <w:pPr>
                    <w:spacing w:line="280" w:lineRule="exact"/>
                    <w:jc w:val="left"/>
                    <w:rPr>
                      <w:rFonts w:hint="eastAsia" w:ascii="宋体" w:hAnsi="宋体" w:eastAsia="宋体" w:cs="宋体"/>
                      <w:color w:val="0000FF"/>
                      <w:sz w:val="18"/>
                      <w:szCs w:val="18"/>
                    </w:rPr>
                  </w:pPr>
                </w:p>
              </w:tc>
              <w:tc>
                <w:tcPr>
                  <w:tcW w:w="1668" w:type="dxa"/>
                </w:tcPr>
                <w:p>
                  <w:pPr>
                    <w:jc w:val="center"/>
                    <w:rPr>
                      <w:rFonts w:hint="eastAsia" w:ascii="宋体" w:hAnsi="宋体" w:eastAsia="宋体" w:cs="宋体"/>
                      <w:color w:val="0000FF"/>
                      <w:sz w:val="18"/>
                      <w:szCs w:val="18"/>
                    </w:rPr>
                  </w:pPr>
                </w:p>
              </w:tc>
            </w:tr>
          </w:tbl>
          <w:p>
            <w:pPr>
              <w:pStyle w:val="6"/>
              <w:rPr>
                <w:rFonts w:hint="eastAsia"/>
                <w:lang w:val="en-GB" w:eastAsia="zh-CN"/>
              </w:rPr>
            </w:pPr>
          </w:p>
          <w:p>
            <w:pPr>
              <w:rPr>
                <w:rFonts w:hint="eastAsia" w:asciiTheme="minorEastAsia" w:hAnsiTheme="minorEastAsia" w:eastAsiaTheme="minorEastAsia"/>
                <w:szCs w:val="21"/>
              </w:rPr>
            </w:pP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88" w:type="dxa"/>
            <w:gridSpan w:val="2"/>
            <w:vMerge w:val="continue"/>
            <w:shd w:val="clear" w:color="auto" w:fill="auto"/>
          </w:tcPr>
          <w:p/>
        </w:tc>
        <w:tc>
          <w:tcPr>
            <w:tcW w:w="922" w:type="dxa"/>
            <w:shd w:val="clear" w:color="auto" w:fill="auto"/>
          </w:tcPr>
          <w:p>
            <w:r>
              <w:t>8.5.4.4 超出关键限值或行动限值采取的措施</w:t>
            </w:r>
          </w:p>
          <w:p/>
        </w:tc>
        <w:tc>
          <w:tcPr>
            <w:tcW w:w="745" w:type="dxa"/>
            <w:shd w:val="clear" w:color="auto" w:fill="auto"/>
          </w:tcPr>
          <w:p/>
        </w:tc>
        <w:tc>
          <w:tcPr>
            <w:tcW w:w="9653"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04"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8" w:type="dxa"/>
            <w:gridSpan w:val="2"/>
            <w:vMerge w:val="continue"/>
            <w:shd w:val="clear" w:color="auto" w:fill="auto"/>
          </w:tcPr>
          <w:p/>
        </w:tc>
        <w:tc>
          <w:tcPr>
            <w:tcW w:w="922" w:type="dxa"/>
            <w:shd w:val="clear" w:color="auto" w:fill="auto"/>
          </w:tcPr>
          <w:p>
            <w:r>
              <w:t>8.5.4.5实施危害控制计划</w:t>
            </w:r>
          </w:p>
          <w:p/>
        </w:tc>
        <w:tc>
          <w:tcPr>
            <w:tcW w:w="745" w:type="dxa"/>
            <w:shd w:val="clear" w:color="auto" w:fill="auto"/>
          </w:tcPr>
          <w:p>
            <w:r>
              <w:t>现场查看</w:t>
            </w:r>
          </w:p>
        </w:tc>
        <w:tc>
          <w:tcPr>
            <w:tcW w:w="9653" w:type="dxa"/>
            <w:shd w:val="clear" w:color="auto" w:fill="auto"/>
          </w:tcPr>
          <w:p>
            <w:r>
              <w:t>OPRP的实施情况：</w:t>
            </w:r>
            <w:r>
              <w:rPr>
                <w:b/>
                <w:bCs/>
              </w:rPr>
              <w:t xml:space="preserve"> </w:t>
            </w:r>
            <w:r>
              <w:rPr>
                <w:rFonts w:hint="eastAsia"/>
                <w:b/>
                <w:bCs/>
              </w:rPr>
              <w:t>（</w:t>
            </w:r>
            <w:r>
              <w:rPr>
                <w:rFonts w:hint="eastAsia"/>
              </w:rPr>
              <w:t>见品质技术部、生产部审核记录</w:t>
            </w:r>
            <w:r>
              <w:rPr>
                <w:rFonts w:hint="eastAsia"/>
                <w:b/>
                <w:bCs/>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2"/>
            </w:pPr>
          </w:p>
          <w:p>
            <w:r>
              <w:t>HACCP的实施情况：</w:t>
            </w:r>
            <w:r>
              <w:rPr>
                <w:rFonts w:hint="eastAsia"/>
              </w:rPr>
              <w:t>（见品质技术部、生产部审核记录）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504"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shd w:val="clear" w:color="auto" w:fill="auto"/>
          </w:tcPr>
          <w:p>
            <w:r>
              <w:t>PRP和危害控制计划文件的更新</w:t>
            </w:r>
          </w:p>
        </w:tc>
        <w:tc>
          <w:tcPr>
            <w:tcW w:w="922" w:type="dxa"/>
            <w:vMerge w:val="restart"/>
            <w:shd w:val="clear" w:color="auto" w:fill="auto"/>
          </w:tcPr>
          <w:p>
            <w:r>
              <w:t>F8. 6</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r>
              <w:t>制定OPRP计划和（或） HACCP计划后， 组织对如下信息进行更新：</w:t>
            </w:r>
          </w:p>
          <w:p>
            <w:r>
              <w:rPr/>
              <w:sym w:font="Wingdings" w:char="00A8"/>
            </w:r>
            <w:r>
              <w:t>体系建立以来未发生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1472"/>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636" w:type="dxa"/>
                </w:tcPr>
                <w:p>
                  <w:r>
                    <w:t>变更的内容</w:t>
                  </w:r>
                </w:p>
              </w:tc>
              <w:tc>
                <w:tcPr>
                  <w:tcW w:w="1472" w:type="dxa"/>
                </w:tcPr>
                <w:p>
                  <w:r>
                    <w:t>变更的时间</w:t>
                  </w:r>
                </w:p>
              </w:tc>
              <w:tc>
                <w:tcPr>
                  <w:tcW w:w="3935"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原料、 辅料和与产品接触材料的特性</w:t>
                  </w:r>
                </w:p>
              </w:tc>
              <w:tc>
                <w:tcPr>
                  <w:tcW w:w="1472" w:type="dxa"/>
                </w:tcPr>
                <w:p>
                  <w:pPr>
                    <w:rPr>
                      <w:rFonts w:hint="eastAsia" w:eastAsia="宋体"/>
                      <w:lang w:val="en-US" w:eastAsia="zh-CN"/>
                    </w:rPr>
                  </w:pPr>
                  <w:r>
                    <w:t>——</w:t>
                  </w:r>
                  <w:r>
                    <w:rPr>
                      <w:rFonts w:hint="eastAsia"/>
                      <w:lang w:val="en-US" w:eastAsia="zh-CN"/>
                    </w:rPr>
                    <w:t>不涉及</w:t>
                  </w:r>
                </w:p>
              </w:tc>
              <w:tc>
                <w:tcPr>
                  <w:tcW w:w="39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成品特性</w:t>
                  </w:r>
                </w:p>
              </w:tc>
              <w:tc>
                <w:tcPr>
                  <w:tcW w:w="1472" w:type="dxa"/>
                </w:tcPr>
                <w:p>
                  <w:r>
                    <w:t>——</w:t>
                  </w:r>
                  <w:r>
                    <w:rPr>
                      <w:rFonts w:hint="eastAsia"/>
                      <w:lang w:val="en-US" w:eastAsia="zh-CN"/>
                    </w:rPr>
                    <w:t>不涉及</w:t>
                  </w:r>
                </w:p>
              </w:tc>
              <w:tc>
                <w:tcPr>
                  <w:tcW w:w="39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预期用途</w:t>
                  </w:r>
                </w:p>
              </w:tc>
              <w:tc>
                <w:tcPr>
                  <w:tcW w:w="1472" w:type="dxa"/>
                </w:tcPr>
                <w:p>
                  <w:r>
                    <w:t>——</w:t>
                  </w:r>
                  <w:r>
                    <w:rPr>
                      <w:rFonts w:hint="eastAsia"/>
                      <w:lang w:val="en-US" w:eastAsia="zh-CN"/>
                    </w:rPr>
                    <w:t>不涉及</w:t>
                  </w:r>
                </w:p>
              </w:tc>
              <w:tc>
                <w:tcPr>
                  <w:tcW w:w="39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流程图、 工艺步骤和控制措施</w:t>
                  </w:r>
                </w:p>
              </w:tc>
              <w:tc>
                <w:tcPr>
                  <w:tcW w:w="1472" w:type="dxa"/>
                </w:tcPr>
                <w:p>
                  <w:r>
                    <w:t>——</w:t>
                  </w:r>
                  <w:r>
                    <w:rPr>
                      <w:rFonts w:hint="eastAsia"/>
                      <w:lang w:val="en-US" w:eastAsia="zh-CN"/>
                    </w:rPr>
                    <w:t>不涉及</w:t>
                  </w:r>
                </w:p>
              </w:tc>
              <w:tc>
                <w:tcPr>
                  <w:tcW w:w="39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PRP</w:t>
                  </w:r>
                </w:p>
              </w:tc>
              <w:tc>
                <w:tcPr>
                  <w:tcW w:w="1472" w:type="dxa"/>
                </w:tcPr>
                <w:p>
                  <w:r>
                    <w:t>——</w:t>
                  </w:r>
                  <w:r>
                    <w:rPr>
                      <w:rFonts w:hint="eastAsia"/>
                      <w:lang w:val="en-US" w:eastAsia="zh-CN"/>
                    </w:rPr>
                    <w:t>不涉及</w:t>
                  </w:r>
                </w:p>
              </w:tc>
              <w:tc>
                <w:tcPr>
                  <w:tcW w:w="39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OPRP计划</w:t>
                  </w:r>
                </w:p>
              </w:tc>
              <w:tc>
                <w:tcPr>
                  <w:tcW w:w="1472" w:type="dxa"/>
                </w:tcPr>
                <w:p>
                  <w:r>
                    <w:t>——</w:t>
                  </w:r>
                  <w:r>
                    <w:rPr>
                      <w:rFonts w:hint="eastAsia"/>
                      <w:lang w:val="en-US" w:eastAsia="zh-CN"/>
                    </w:rPr>
                    <w:t>不涉及</w:t>
                  </w:r>
                </w:p>
              </w:tc>
              <w:tc>
                <w:tcPr>
                  <w:tcW w:w="393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tcPr>
                <w:p>
                  <w:r>
                    <w:t>HACCP计划</w:t>
                  </w:r>
                </w:p>
              </w:tc>
              <w:tc>
                <w:tcPr>
                  <w:tcW w:w="1472" w:type="dxa"/>
                </w:tcPr>
                <w:p>
                  <w:pPr>
                    <w:rPr>
                      <w:rFonts w:hint="default" w:eastAsia="宋体"/>
                      <w:lang w:val="en-US" w:eastAsia="zh-CN"/>
                    </w:rPr>
                  </w:pPr>
                  <w:r>
                    <w:rPr>
                      <w:rFonts w:hint="eastAsia"/>
                      <w:lang w:val="en-US" w:eastAsia="zh-CN"/>
                    </w:rPr>
                    <w:t>发生更新，2022-06-01</w:t>
                  </w:r>
                </w:p>
              </w:tc>
              <w:tc>
                <w:tcPr>
                  <w:tcW w:w="3935" w:type="dxa"/>
                </w:tcPr>
                <w:p>
                  <w:pPr>
                    <w:rPr>
                      <w:rFonts w:hint="default" w:eastAsia="宋体"/>
                      <w:lang w:val="en-US" w:eastAsia="zh-CN"/>
                    </w:rPr>
                  </w:pPr>
                  <w:r>
                    <w:rPr>
                      <w:rFonts w:hint="eastAsia"/>
                      <w:lang w:val="en-US" w:eastAsia="zh-CN"/>
                    </w:rPr>
                    <w:t>CCP1的CL值发生变化</w:t>
                  </w:r>
                </w:p>
              </w:tc>
            </w:tr>
          </w:tbl>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88" w:type="dxa"/>
            <w:gridSpan w:val="2"/>
            <w:vMerge w:val="restart"/>
            <w:shd w:val="clear" w:color="auto" w:fill="auto"/>
          </w:tcPr>
          <w:p>
            <w:r>
              <w:t>与 PRP、危害控制计划有关的验证</w:t>
            </w:r>
          </w:p>
          <w:p/>
        </w:tc>
        <w:tc>
          <w:tcPr>
            <w:tcW w:w="922" w:type="dxa"/>
            <w:vMerge w:val="restart"/>
            <w:shd w:val="clear" w:color="auto" w:fill="auto"/>
          </w:tcPr>
          <w:p>
            <w:r>
              <w:t>F8.8.1</w:t>
            </w:r>
          </w:p>
          <w:p/>
        </w:tc>
        <w:tc>
          <w:tcPr>
            <w:tcW w:w="745" w:type="dxa"/>
            <w:shd w:val="clear" w:color="auto" w:fill="auto"/>
          </w:tcPr>
          <w:p>
            <w:r>
              <w:t>文件名称</w:t>
            </w:r>
          </w:p>
        </w:tc>
        <w:tc>
          <w:tcPr>
            <w:tcW w:w="965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504" w:type="dxa"/>
            <w:vMerge w:val="restart"/>
            <w:shd w:val="clear" w:color="auto" w:fill="auto"/>
          </w:tcPr>
          <w:p>
            <w:r>
              <w:rPr/>
              <w:sym w:font="Wingdings" w:char="00FE"/>
            </w:r>
            <w:r>
              <w:t>符合</w:t>
            </w:r>
          </w:p>
          <w:p>
            <w:r>
              <w:rPr/>
              <w:sym w:font="Wingdings" w:char="00A8"/>
            </w:r>
            <w:r>
              <w:t>不符合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2"/>
                    <w:ind w:left="0" w:firstLine="0" w:firstLineChars="0"/>
                  </w:pPr>
                  <w:r>
                    <w:rPr>
                      <w:rFonts w:hint="eastAsia" w:ascii="Times New Roman" w:hAnsi="Times New Roman"/>
                      <w:szCs w:val="21"/>
                    </w:rPr>
                    <w:t>每批次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rFonts w:hint="default" w:eastAsia="宋体"/>
                <w:u w:val="single"/>
                <w:lang w:val="en-US" w:eastAsia="zh-CN"/>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38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1383" w:type="dxa"/>
                </w:tcPr>
                <w:p>
                  <w:pPr>
                    <w:rPr>
                      <w:sz w:val="18"/>
                      <w:szCs w:val="18"/>
                    </w:rPr>
                  </w:pPr>
                  <w:r>
                    <w:rPr>
                      <w:sz w:val="18"/>
                      <w:szCs w:val="18"/>
                    </w:rPr>
                    <w:t>实测结果</w:t>
                  </w:r>
                </w:p>
              </w:tc>
              <w:tc>
                <w:tcPr>
                  <w:tcW w:w="1716"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1383" w:type="dxa"/>
                </w:tcPr>
                <w:p>
                  <w:pPr>
                    <w:rPr>
                      <w:sz w:val="18"/>
                      <w:szCs w:val="18"/>
                    </w:rPr>
                  </w:pPr>
                </w:p>
              </w:tc>
              <w:tc>
                <w:tcPr>
                  <w:tcW w:w="1716" w:type="dxa"/>
                </w:tcPr>
                <w:p>
                  <w:pPr>
                    <w:rPr>
                      <w:sz w:val="18"/>
                      <w:szCs w:val="18"/>
                    </w:rPr>
                  </w:pPr>
                  <w:r>
                    <w:rPr/>
                    <w:sym w:font="Wingdings" w:char="00A8"/>
                  </w:r>
                  <w:r>
                    <w:rPr>
                      <w:sz w:val="18"/>
                      <w:szCs w:val="18"/>
                    </w:rPr>
                    <w:t>合格 □不合格</w:t>
                  </w:r>
                </w:p>
              </w:tc>
            </w:tr>
          </w:tbl>
          <w:p>
            <w:pPr>
              <w:pStyle w:val="6"/>
              <w:rPr>
                <w:rFonts w:hint="default"/>
                <w:sz w:val="18"/>
                <w:szCs w:val="18"/>
                <w:lang w:val="en-US" w:eastAsia="zh-CN"/>
              </w:rPr>
            </w:pPr>
            <w:r>
              <w:rPr>
                <w:rFonts w:hint="eastAsia"/>
                <w:sz w:val="21"/>
                <w:szCs w:val="21"/>
                <w:highlight w:val="yellow"/>
                <w:u w:val="single"/>
                <w:lang w:val="en-US" w:eastAsia="zh-CN"/>
              </w:rPr>
              <w:t>生产用水已委托第三方进行检测，提供了《技术服务合同》，签订日期：2022-09-01，受疫情影响，还未取得水质报告,下次审核关注</w:t>
            </w:r>
          </w:p>
          <w:p>
            <w:pPr>
              <w:pStyle w:val="6"/>
              <w:rPr>
                <w:rFonts w:hint="default"/>
                <w:sz w:val="18"/>
                <w:szCs w:val="18"/>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shd w:val="clear" w:color="auto" w:fill="auto"/>
          </w:tcPr>
          <w:p>
            <w:r>
              <w:t>验证活动结果的分析</w:t>
            </w:r>
          </w:p>
        </w:tc>
        <w:tc>
          <w:tcPr>
            <w:tcW w:w="922" w:type="dxa"/>
            <w:vMerge w:val="restart"/>
            <w:shd w:val="clear" w:color="auto" w:fill="auto"/>
          </w:tcPr>
          <w:p>
            <w:r>
              <w:t>F8.8.2</w:t>
            </w:r>
          </w:p>
          <w:p/>
        </w:tc>
        <w:tc>
          <w:tcPr>
            <w:tcW w:w="745" w:type="dxa"/>
            <w:shd w:val="clear" w:color="auto" w:fill="auto"/>
          </w:tcPr>
          <w:p>
            <w:r>
              <w:t>文件名称</w:t>
            </w:r>
          </w:p>
        </w:tc>
        <w:tc>
          <w:tcPr>
            <w:tcW w:w="965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8" w:type="dxa"/>
            <w:gridSpan w:val="2"/>
            <w:vMerge w:val="continue"/>
            <w:shd w:val="clear" w:color="auto" w:fill="auto"/>
          </w:tcPr>
          <w:p/>
        </w:tc>
        <w:tc>
          <w:tcPr>
            <w:tcW w:w="922" w:type="dxa"/>
            <w:vMerge w:val="continue"/>
            <w:shd w:val="clear" w:color="auto" w:fill="auto"/>
          </w:tcPr>
          <w:p/>
        </w:tc>
        <w:tc>
          <w:tcPr>
            <w:tcW w:w="745" w:type="dxa"/>
            <w:shd w:val="clear" w:color="auto" w:fill="auto"/>
          </w:tcPr>
          <w:p>
            <w:r>
              <w:t>运行证据</w:t>
            </w:r>
          </w:p>
        </w:tc>
        <w:tc>
          <w:tcPr>
            <w:tcW w:w="9653" w:type="dxa"/>
            <w:shd w:val="clear" w:color="auto" w:fill="auto"/>
          </w:tcPr>
          <w:p>
            <w:pPr>
              <w:rPr>
                <w:rFonts w:hint="eastAsia" w:eastAsia="宋体"/>
                <w:lang w:eastAsia="zh-CN"/>
              </w:rPr>
            </w:pPr>
            <w:r>
              <w:t>食品安全小组对验证结果进行分析，并将其作为食品安全管理体系绩效评估的输入</w:t>
            </w:r>
            <w:r>
              <w:rPr>
                <w:rFonts w:hint="eastAsia"/>
                <w:lang w:eastAsia="zh-CN"/>
              </w:rPr>
              <w:t>：</w:t>
            </w:r>
          </w:p>
          <w:p/>
          <w:p>
            <w:pPr>
              <w:adjustRightInd w:val="0"/>
              <w:snapToGrid w:val="0"/>
              <w:spacing w:line="240" w:lineRule="atLeast"/>
              <w:ind w:firstLine="422" w:firstLineChars="200"/>
              <w:rPr>
                <w:b/>
                <w:bCs/>
                <w:szCs w:val="21"/>
                <w:u w:val="single"/>
              </w:rPr>
            </w:pPr>
            <w:r>
              <w:rPr>
                <w:b/>
                <w:bCs/>
                <w:szCs w:val="21"/>
                <w:u w:val="single"/>
              </w:rPr>
              <w:t>有</w:t>
            </w:r>
            <w:r>
              <w:rPr>
                <w:rFonts w:hint="eastAsia"/>
                <w:b/>
                <w:bCs/>
                <w:szCs w:val="21"/>
                <w:u w:val="single"/>
              </w:rPr>
              <w:t>《PRP现场验证记录》，202</w:t>
            </w:r>
            <w:r>
              <w:rPr>
                <w:rFonts w:hint="eastAsia"/>
                <w:b/>
                <w:bCs/>
                <w:szCs w:val="21"/>
                <w:u w:val="single"/>
                <w:lang w:val="en-US" w:eastAsia="zh-CN"/>
              </w:rPr>
              <w:t>2-08-20</w:t>
            </w:r>
            <w:r>
              <w:rPr>
                <w:rFonts w:hint="eastAsia"/>
                <w:b/>
                <w:bCs/>
                <w:szCs w:val="21"/>
                <w:u w:val="single"/>
              </w:rPr>
              <w:t>，结论：控制有效</w:t>
            </w:r>
            <w:r>
              <w:rPr>
                <w:rFonts w:hint="eastAsia"/>
                <w:b/>
                <w:bCs/>
                <w:szCs w:val="21"/>
                <w:u w:val="single"/>
                <w:lang w:eastAsia="zh-CN"/>
              </w:rPr>
              <w:t>，</w:t>
            </w:r>
            <w:r>
              <w:rPr>
                <w:rFonts w:hint="eastAsia"/>
                <w:b/>
                <w:bCs/>
                <w:szCs w:val="21"/>
                <w:u w:val="single"/>
                <w:lang w:val="en-US" w:eastAsia="zh-CN"/>
              </w:rPr>
              <w:t>策划时间不合理，已与企业沟通</w:t>
            </w:r>
          </w:p>
          <w:p>
            <w:pPr>
              <w:adjustRightInd w:val="0"/>
              <w:snapToGrid w:val="0"/>
              <w:spacing w:line="240" w:lineRule="atLeast"/>
              <w:ind w:firstLine="422" w:firstLineChars="200"/>
              <w:rPr>
                <w:rFonts w:hint="default" w:eastAsia="宋体"/>
                <w:b/>
                <w:bCs/>
                <w:szCs w:val="21"/>
                <w:u w:val="single"/>
                <w:lang w:val="en-US" w:eastAsia="zh-CN"/>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记录表》，202</w:t>
            </w:r>
            <w:r>
              <w:rPr>
                <w:rFonts w:hint="eastAsia"/>
                <w:b/>
                <w:bCs/>
                <w:szCs w:val="21"/>
                <w:u w:val="single"/>
                <w:lang w:val="en-US" w:eastAsia="zh-CN"/>
              </w:rPr>
              <w:t>2-08-20</w:t>
            </w:r>
            <w:r>
              <w:rPr>
                <w:rFonts w:hint="eastAsia"/>
                <w:b/>
                <w:bCs/>
                <w:szCs w:val="21"/>
                <w:u w:val="single"/>
              </w:rPr>
              <w:t>，结论：控制有效</w:t>
            </w:r>
            <w:r>
              <w:rPr>
                <w:rFonts w:hint="eastAsia"/>
                <w:b/>
                <w:bCs/>
                <w:szCs w:val="21"/>
                <w:u w:val="single"/>
                <w:lang w:eastAsia="zh-CN"/>
              </w:rPr>
              <w:t>，</w:t>
            </w:r>
            <w:r>
              <w:rPr>
                <w:rFonts w:hint="eastAsia"/>
                <w:b/>
                <w:bCs/>
                <w:szCs w:val="21"/>
                <w:u w:val="single"/>
                <w:lang w:val="en-US" w:eastAsia="zh-CN"/>
              </w:rPr>
              <w:t>策划时间不合理，已与企业沟通</w:t>
            </w:r>
          </w:p>
          <w:p>
            <w:pPr>
              <w:adjustRightInd w:val="0"/>
              <w:snapToGrid w:val="0"/>
              <w:spacing w:line="240" w:lineRule="atLeast"/>
              <w:ind w:firstLine="422" w:firstLineChars="200"/>
            </w:pPr>
            <w:r>
              <w:rPr>
                <w:b/>
                <w:bCs/>
                <w:szCs w:val="21"/>
                <w:u w:val="single"/>
              </w:rPr>
              <w:t>《验证活动结果分析报告》，</w:t>
            </w:r>
            <w:r>
              <w:rPr>
                <w:rFonts w:hint="eastAsia"/>
                <w:b/>
                <w:bCs/>
                <w:szCs w:val="21"/>
                <w:u w:val="single"/>
              </w:rPr>
              <w:t>202</w:t>
            </w:r>
            <w:r>
              <w:rPr>
                <w:rFonts w:hint="eastAsia"/>
                <w:b/>
                <w:bCs/>
                <w:szCs w:val="21"/>
                <w:u w:val="single"/>
                <w:lang w:val="en-US" w:eastAsia="zh-CN"/>
              </w:rPr>
              <w:t>2</w:t>
            </w:r>
            <w:r>
              <w:rPr>
                <w:rFonts w:hint="eastAsia"/>
                <w:b/>
                <w:bCs/>
                <w:szCs w:val="21"/>
                <w:u w:val="single"/>
              </w:rPr>
              <w:t>-</w:t>
            </w:r>
            <w:r>
              <w:rPr>
                <w:b/>
                <w:bCs/>
                <w:szCs w:val="21"/>
                <w:u w:val="single"/>
              </w:rPr>
              <w:t>8</w:t>
            </w:r>
            <w:r>
              <w:rPr>
                <w:rFonts w:hint="eastAsia"/>
                <w:b/>
                <w:bCs/>
                <w:szCs w:val="21"/>
                <w:u w:val="single"/>
              </w:rPr>
              <w:t>-</w:t>
            </w:r>
            <w:r>
              <w:rPr>
                <w:rFonts w:hint="eastAsia"/>
                <w:b/>
                <w:bCs/>
                <w:szCs w:val="21"/>
                <w:u w:val="single"/>
                <w:lang w:val="en-US" w:eastAsia="zh-CN"/>
              </w:rPr>
              <w:t>2</w:t>
            </w:r>
            <w:r>
              <w:rPr>
                <w:b/>
                <w:bCs/>
                <w:szCs w:val="21"/>
                <w:u w:val="single"/>
              </w:rPr>
              <w:t>5</w:t>
            </w:r>
            <w:r>
              <w:rPr>
                <w:rFonts w:hint="eastAsia"/>
                <w:b/>
                <w:bCs/>
                <w:szCs w:val="21"/>
                <w:u w:val="single"/>
              </w:rPr>
              <w:t>，结论：控制有效</w:t>
            </w:r>
            <w:r>
              <w:rPr>
                <w:b/>
                <w:bCs/>
                <w:szCs w:val="21"/>
                <w:u w:val="single"/>
              </w:rPr>
              <w:t>。</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88" w:type="dxa"/>
            <w:gridSpan w:val="2"/>
            <w:vMerge w:val="restart"/>
          </w:tcPr>
          <w:p>
            <w:r>
              <w:t>分析与评价</w:t>
            </w:r>
          </w:p>
        </w:tc>
        <w:tc>
          <w:tcPr>
            <w:tcW w:w="922" w:type="dxa"/>
            <w:vMerge w:val="restart"/>
          </w:tcPr>
          <w:p>
            <w:r>
              <w:t>F9.1.2</w:t>
            </w:r>
          </w:p>
        </w:tc>
        <w:tc>
          <w:tcPr>
            <w:tcW w:w="745" w:type="dxa"/>
          </w:tcPr>
          <w:p>
            <w:r>
              <w:t>文件名称</w:t>
            </w:r>
          </w:p>
        </w:tc>
        <w:tc>
          <w:tcPr>
            <w:tcW w:w="9653" w:type="dxa"/>
          </w:tcPr>
          <w:p>
            <w:r>
              <w:t>如：</w:t>
            </w:r>
            <w:r>
              <w:rPr/>
              <w:sym w:font="Wingdings" w:char="00A8"/>
            </w:r>
            <w:r>
              <w:t>《产品监视和测量控制程序》</w:t>
            </w:r>
            <w:r>
              <w:rPr>
                <w:rFonts w:hint="eastAsia"/>
              </w:rPr>
              <w:t xml:space="preserve"> </w:t>
            </w:r>
            <w:r>
              <w:rPr>
                <w:rFonts w:hint="default" w:ascii="Times New Roman" w:hAnsi="Times New Roman" w:cs="Times New Roman"/>
                <w:color w:val="000000"/>
                <w:szCs w:val="21"/>
              </w:rPr>
              <w:t>☑</w:t>
            </w:r>
            <w:r>
              <w:rPr>
                <w:rFonts w:hint="eastAsia"/>
              </w:rPr>
              <w:t>《监视和测量设备控制程序》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88" w:type="dxa"/>
            <w:gridSpan w:val="2"/>
            <w:vMerge w:val="continue"/>
          </w:tcPr>
          <w:p/>
        </w:tc>
        <w:tc>
          <w:tcPr>
            <w:tcW w:w="922" w:type="dxa"/>
            <w:vMerge w:val="continue"/>
          </w:tcPr>
          <w:p/>
        </w:tc>
        <w:tc>
          <w:tcPr>
            <w:tcW w:w="745" w:type="dxa"/>
          </w:tcPr>
          <w:p>
            <w:r>
              <w:t>运行证据</w:t>
            </w:r>
          </w:p>
        </w:tc>
        <w:tc>
          <w:tcPr>
            <w:tcW w:w="965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default" w:eastAsia="宋体"/>
                <w:lang w:val="en-US" w:eastAsia="zh-CN"/>
              </w:rPr>
            </w:pPr>
            <w:r>
              <w:t>见《验证结果分析报告》</w:t>
            </w:r>
            <w:r>
              <w:rPr>
                <w:rFonts w:hint="eastAsia"/>
                <w:lang w:val="en-US" w:eastAsia="zh-CN"/>
              </w:rPr>
              <w:t>2022-08-25，《管理评审报告》2022-09-05</w:t>
            </w:r>
          </w:p>
        </w:tc>
        <w:tc>
          <w:tcPr>
            <w:tcW w:w="1504" w:type="dxa"/>
            <w:vMerge w:val="continue"/>
          </w:tc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35" w:firstLineChars="550"/>
      <w:jc w:val="left"/>
      <w:rPr>
        <w:rStyle w:val="19"/>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-9525</wp:posOffset>
          </wp:positionH>
          <wp:positionV relativeFrom="paragraph">
            <wp:posOffset>-10795</wp:posOffset>
          </wp:positionV>
          <wp:extent cx="481965" cy="485140"/>
          <wp:effectExtent l="0" t="0" r="3810" b="63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1565E"/>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8C7"/>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3205C"/>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429F0"/>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8767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47777"/>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2FB3"/>
    <w:rsid w:val="009F7EED"/>
    <w:rsid w:val="00A00A66"/>
    <w:rsid w:val="00A03AB0"/>
    <w:rsid w:val="00A03B2A"/>
    <w:rsid w:val="00A10908"/>
    <w:rsid w:val="00A24D4B"/>
    <w:rsid w:val="00A324D5"/>
    <w:rsid w:val="00A4056D"/>
    <w:rsid w:val="00A40FE6"/>
    <w:rsid w:val="00A42B11"/>
    <w:rsid w:val="00A521F0"/>
    <w:rsid w:val="00A56733"/>
    <w:rsid w:val="00A60541"/>
    <w:rsid w:val="00A74E10"/>
    <w:rsid w:val="00A80636"/>
    <w:rsid w:val="00A856B9"/>
    <w:rsid w:val="00A85E35"/>
    <w:rsid w:val="00A87338"/>
    <w:rsid w:val="00A92316"/>
    <w:rsid w:val="00A92400"/>
    <w:rsid w:val="00AA50DA"/>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37247"/>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1E6442"/>
    <w:rsid w:val="17226BDD"/>
    <w:rsid w:val="17446813"/>
    <w:rsid w:val="177551EA"/>
    <w:rsid w:val="178419DC"/>
    <w:rsid w:val="179B1D36"/>
    <w:rsid w:val="17B075A7"/>
    <w:rsid w:val="17B80B81"/>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2031BB"/>
    <w:rsid w:val="21955824"/>
    <w:rsid w:val="21A07B88"/>
    <w:rsid w:val="21A34258"/>
    <w:rsid w:val="21A576DD"/>
    <w:rsid w:val="21B02061"/>
    <w:rsid w:val="21B31BF6"/>
    <w:rsid w:val="21D24208"/>
    <w:rsid w:val="21E11F3F"/>
    <w:rsid w:val="226B2F60"/>
    <w:rsid w:val="22751E27"/>
    <w:rsid w:val="22813299"/>
    <w:rsid w:val="229F2D1A"/>
    <w:rsid w:val="22E2550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B602A2"/>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9279E9"/>
    <w:rsid w:val="2EE14065"/>
    <w:rsid w:val="2EEE512C"/>
    <w:rsid w:val="2F7C571D"/>
    <w:rsid w:val="2F824436"/>
    <w:rsid w:val="2F9246EC"/>
    <w:rsid w:val="2FA86B66"/>
    <w:rsid w:val="2FC82DC8"/>
    <w:rsid w:val="2FE823A5"/>
    <w:rsid w:val="2FEA1C57"/>
    <w:rsid w:val="30015004"/>
    <w:rsid w:val="300172B8"/>
    <w:rsid w:val="30284CE9"/>
    <w:rsid w:val="308B5E08"/>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4024F"/>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1D6475"/>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56422C"/>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01254F"/>
    <w:rsid w:val="76190159"/>
    <w:rsid w:val="76346E4E"/>
    <w:rsid w:val="7648538B"/>
    <w:rsid w:val="76531223"/>
    <w:rsid w:val="76640645"/>
    <w:rsid w:val="767E47F6"/>
    <w:rsid w:val="7692158A"/>
    <w:rsid w:val="76B1156C"/>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5120A"/>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annotation text"/>
    <w:basedOn w:val="1"/>
    <w:link w:val="23"/>
    <w:semiHidden/>
    <w:unhideWhenUsed/>
    <w:qFormat/>
    <w:uiPriority w:val="99"/>
    <w:pPr>
      <w:jc w:val="left"/>
    </w:pPr>
  </w:style>
  <w:style w:type="paragraph" w:styleId="6">
    <w:name w:val="Body Text"/>
    <w:basedOn w:val="1"/>
    <w:link w:val="25"/>
    <w:qFormat/>
    <w:uiPriority w:val="1"/>
    <w:pPr>
      <w:ind w:left="137"/>
    </w:pPr>
    <w:rPr>
      <w:rFonts w:ascii="宋体" w:hAnsi="宋体"/>
      <w:sz w:val="20"/>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9"/>
    <w:qFormat/>
    <w:uiPriority w:val="99"/>
    <w:rPr>
      <w:rFonts w:ascii="Times New Roman" w:hAnsi="Times New Roman" w:eastAsia="宋体" w:cs="Times New Roman"/>
      <w:sz w:val="18"/>
      <w:szCs w:val="18"/>
    </w:rPr>
  </w:style>
  <w:style w:type="character" w:customStyle="1" w:styleId="17">
    <w:name w:val="页脚 字符"/>
    <w:basedOn w:val="14"/>
    <w:link w:val="8"/>
    <w:qFormat/>
    <w:uiPriority w:val="99"/>
    <w:rPr>
      <w:rFonts w:ascii="Times New Roman" w:hAnsi="Times New Roman" w:eastAsia="宋体" w:cs="Times New Roman"/>
      <w:sz w:val="18"/>
      <w:szCs w:val="18"/>
    </w:rPr>
  </w:style>
  <w:style w:type="character" w:customStyle="1" w:styleId="18">
    <w:name w:val="批注框文本 字符"/>
    <w:basedOn w:val="14"/>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text|1"/>
    <w:basedOn w:val="1"/>
    <w:qFormat/>
    <w:uiPriority w:val="0"/>
    <w:pPr>
      <w:spacing w:after="80"/>
    </w:pPr>
    <w:rPr>
      <w:rFonts w:ascii="MingLiU" w:hAnsi="MingLiU" w:eastAsia="MingLiU" w:cs="MingLiU"/>
      <w:sz w:val="20"/>
      <w:lang w:val="zh-TW" w:eastAsia="zh-TW" w:bidi="zh-TW"/>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99"/>
    <w:pPr>
      <w:ind w:firstLine="420" w:firstLineChars="200"/>
    </w:pPr>
  </w:style>
  <w:style w:type="character" w:customStyle="1" w:styleId="23">
    <w:name w:val="批注文字 字符"/>
    <w:basedOn w:val="14"/>
    <w:link w:val="5"/>
    <w:semiHidden/>
    <w:qFormat/>
    <w:uiPriority w:val="99"/>
    <w:rPr>
      <w:kern w:val="2"/>
      <w:sz w:val="21"/>
    </w:rPr>
  </w:style>
  <w:style w:type="character" w:customStyle="1" w:styleId="24">
    <w:name w:val="批注主题 字符"/>
    <w:basedOn w:val="23"/>
    <w:link w:val="11"/>
    <w:semiHidden/>
    <w:qFormat/>
    <w:uiPriority w:val="99"/>
    <w:rPr>
      <w:b/>
      <w:bCs/>
      <w:kern w:val="2"/>
      <w:sz w:val="21"/>
    </w:rPr>
  </w:style>
  <w:style w:type="character" w:customStyle="1" w:styleId="25">
    <w:name w:val="正文文本 字符"/>
    <w:basedOn w:val="14"/>
    <w:link w:val="6"/>
    <w:qFormat/>
    <w:uiPriority w:val="1"/>
    <w:rPr>
      <w:rFonts w:ascii="宋体" w:hAnsi="宋体"/>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1824</Words>
  <Characters>10398</Characters>
  <Lines>86</Lines>
  <Paragraphs>24</Paragraphs>
  <TotalTime>15</TotalTime>
  <ScaleCrop>false</ScaleCrop>
  <LinksUpToDate>false</LinksUpToDate>
  <CharactersWithSpaces>12198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2021-09-16T04:35:00Z</dcterms:created>
  <dc:creator>微软用户</dc:creator>
  <cp:lastModifiedBy>肖新龙</cp:lastModifiedBy>
  <dcterms:modified xsi:type="dcterms:W3CDTF">2022-09-28T05:23:47Z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2F08663987AC4F319CFEB0CBCA17672C</vt:lpwstr>
  </property>
</Properties>
</file>