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170"/>
        <w:gridCol w:w="18"/>
        <w:gridCol w:w="775"/>
        <w:gridCol w:w="890"/>
        <w:gridCol w:w="2"/>
        <w:gridCol w:w="7"/>
        <w:gridCol w:w="9245"/>
        <w:gridCol w:w="3"/>
        <w:gridCol w:w="5"/>
        <w:gridCol w:w="1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79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793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152" w:type="dxa"/>
            <w:gridSpan w:val="6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受审核部门：生产部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负责人：曾银祥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詹梦婷</w:t>
            </w:r>
          </w:p>
        </w:tc>
        <w:tc>
          <w:tcPr>
            <w:tcW w:w="1585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793" w:type="dxa"/>
            <w:gridSpan w:val="2"/>
            <w:vMerge w:val="continue"/>
            <w:vAlign w:val="center"/>
          </w:tcPr>
          <w:p/>
        </w:tc>
        <w:tc>
          <w:tcPr>
            <w:tcW w:w="10152" w:type="dxa"/>
            <w:gridSpan w:val="6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肖新龙（远程）、马焕秋实习（远程）  【审核方式：微信/语音/腾讯会议】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2022-09-27至2022-09-28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793" w:type="dxa"/>
            <w:gridSpan w:val="2"/>
            <w:vMerge w:val="continue"/>
            <w:vAlign w:val="center"/>
          </w:tcPr>
          <w:p/>
        </w:tc>
        <w:tc>
          <w:tcPr>
            <w:tcW w:w="10152" w:type="dxa"/>
            <w:gridSpan w:val="6"/>
            <w:vAlign w:val="center"/>
          </w:tcPr>
          <w:p>
            <w:r>
              <w:rPr>
                <w:rFonts w:hint="eastAsia"/>
              </w:rPr>
              <w:t>审核条款：FSMS:5.3/6.2/7.1.3/7.1.4/8.2/8.3/8.4/8.5.4.5</w:t>
            </w:r>
            <w:r>
              <w:rPr>
                <w:rFonts w:hint="eastAsia"/>
                <w:szCs w:val="21"/>
              </w:rPr>
              <w:t>/8.9.5</w:t>
            </w:r>
          </w:p>
          <w:p>
            <w:pPr>
              <w:pStyle w:val="4"/>
            </w:pP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组织的角色、职责和权限</w:t>
            </w:r>
          </w:p>
          <w:p/>
        </w:tc>
        <w:tc>
          <w:tcPr>
            <w:tcW w:w="793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F5.3</w:t>
            </w:r>
          </w:p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793" w:type="dxa"/>
            <w:gridSpan w:val="2"/>
            <w:vMerge w:val="continue"/>
            <w:shd w:val="clear" w:color="auto" w:fill="auto"/>
          </w:tcPr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pPr>
              <w:pStyle w:val="11"/>
              <w:rPr>
                <w:rFonts w:hint="eastAsia"/>
              </w:rPr>
            </w:pPr>
            <w:r>
              <w:rPr>
                <w:rFonts w:hint="eastAsia"/>
              </w:rPr>
              <w:t>主要负责生产计划安排、根据生产计划进行生产、生产过程的管控、基础设施和工作环境管理、设备维保、产品追溯、产品召回、危害控制计划的实施、纠偏等工作。</w:t>
            </w:r>
          </w:p>
          <w:p>
            <w:pPr>
              <w:pStyle w:val="1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询问相关负责人表示审核周期内本部门职责未发生变化。</w:t>
            </w:r>
          </w:p>
        </w:tc>
        <w:tc>
          <w:tcPr>
            <w:tcW w:w="1585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食品安全管理体系目标及其实现的策划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F6.2</w:t>
            </w:r>
          </w:p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手册第6.2条款、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《分解目标》</w:t>
            </w:r>
          </w:p>
        </w:tc>
        <w:tc>
          <w:tcPr>
            <w:tcW w:w="15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793" w:type="dxa"/>
            <w:gridSpan w:val="2"/>
            <w:vMerge w:val="continue"/>
            <w:shd w:val="clear" w:color="auto" w:fill="auto"/>
          </w:tcPr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>
            <w:r>
              <w:rPr>
                <w:rFonts w:hint="eastAsia"/>
              </w:rPr>
              <w:t>总食品安全目标实现情况的评价，及其测量方法是：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3"/>
              <w:gridCol w:w="960"/>
              <w:gridCol w:w="1360"/>
              <w:gridCol w:w="1440"/>
              <w:gridCol w:w="23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食品安全</w:t>
                  </w:r>
                  <w:r>
                    <w:rPr>
                      <w:rFonts w:hint="eastAsia" w:ascii="宋体" w:hAnsi="宋体"/>
                      <w:szCs w:val="24"/>
                    </w:rPr>
                    <w:t>目标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>
                  <w:pPr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目标值</w:t>
                  </w:r>
                </w:p>
              </w:tc>
              <w:tc>
                <w:tcPr>
                  <w:tcW w:w="13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考核周期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目标实际完成（2021.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11-</w:t>
                  </w:r>
                  <w:r>
                    <w:rPr>
                      <w:rFonts w:hint="eastAsia" w:ascii="宋体" w:hAnsi="宋体"/>
                      <w:szCs w:val="24"/>
                    </w:rPr>
                    <w:t>202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2.09</w:t>
                  </w:r>
                  <w:r>
                    <w:rPr>
                      <w:rFonts w:hint="eastAsia" w:ascii="宋体" w:hAnsi="宋体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" w:hRule="atLeast"/>
              </w:trPr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生产计划完成率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≥98%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每半年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val="en-GB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设备完好率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≥98%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产品检验合格率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≥95%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安全事故率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每半年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关键控制点监控率</w:t>
                  </w: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100%</w:t>
                  </w: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每月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生产部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83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3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u w:val="single"/>
              </w:rPr>
              <w:t>目标已完成，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基础设施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F7.1.3 </w:t>
            </w:r>
          </w:p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手册第7.1条款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/>
                <w:lang w:val="en-US" w:eastAsia="zh-CN"/>
              </w:rPr>
              <w:t>设备维修及保养规程</w:t>
            </w:r>
            <w:r>
              <w:rPr>
                <w:rFonts w:hint="eastAsia"/>
                <w:lang w:eastAsia="zh-CN"/>
              </w:rPr>
              <w:t>》</w:t>
            </w:r>
          </w:p>
          <w:p/>
        </w:tc>
        <w:tc>
          <w:tcPr>
            <w:tcW w:w="15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793" w:type="dxa"/>
            <w:gridSpan w:val="2"/>
            <w:vMerge w:val="continue"/>
            <w:shd w:val="clear" w:color="auto" w:fill="auto"/>
          </w:tcPr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pPr>
              <w:ind w:left="1470" w:hanging="1470" w:hangingChars="700"/>
            </w:pPr>
            <w:r>
              <w:rPr>
                <w:rFonts w:hint="eastAsia"/>
                <w:color w:val="000000"/>
                <w:szCs w:val="21"/>
              </w:rPr>
              <w:t>基础设施包括：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 xml:space="preserve">办公楼（室）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加工间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库房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加工设备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特种设备（叉车）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动力设</w:t>
            </w:r>
            <w:r>
              <w:rPr>
                <w:rFonts w:hint="eastAsia"/>
                <w:lang w:val="en-US" w:eastAsia="zh-CN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试验设备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辅助设施 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pStyle w:val="11"/>
              <w:spacing w:line="36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t>公司位于</w:t>
            </w:r>
            <w:r>
              <w:rPr>
                <w:u w:val="single"/>
              </w:rPr>
              <w:t>贵州省黔南州独山县麻尾工业园</w:t>
            </w:r>
            <w:r>
              <w:rPr>
                <w:rFonts w:hint="eastAsia"/>
                <w:u w:val="single"/>
              </w:rPr>
              <w:t>，占地约</w:t>
            </w:r>
            <w:r>
              <w:rPr>
                <w:rFonts w:hint="eastAsia"/>
                <w:u w:val="single"/>
                <w:lang w:val="en-US" w:eastAsia="zh-CN"/>
              </w:rPr>
              <w:t>40</w:t>
            </w:r>
            <w:r>
              <w:rPr>
                <w:rFonts w:hint="eastAsia"/>
                <w:u w:val="single"/>
              </w:rPr>
              <w:t>亩，配备有洗矿机、破碎机、环辊磨（配套鼓风机、除尘系统）、空压机、矿石烘干机组、热风干燥机、自动包装机、振动筛等设备</w:t>
            </w:r>
            <w:r>
              <w:rPr>
                <w:rFonts w:hint="eastAsia"/>
                <w:u w:val="single"/>
                <w:lang w:eastAsia="zh-CN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相关负责人表示设备设施未发生较大变化。</w:t>
            </w:r>
          </w:p>
          <w:p>
            <w:pPr>
              <w:pStyle w:val="11"/>
              <w:spacing w:line="36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审核周期内企业对生产区的地面进行了硬化处理，现场巡视洗矿过程的环境较好。</w:t>
            </w:r>
          </w:p>
          <w:p>
            <w:pPr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</w:rPr>
              <w:t>查看对设备采购的控制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审核周期内未发生。</w:t>
            </w:r>
          </w:p>
          <w:tbl>
            <w:tblPr>
              <w:tblStyle w:val="9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7"/>
              <w:gridCol w:w="2140"/>
              <w:gridCol w:w="2090"/>
              <w:gridCol w:w="20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2437" w:type="dxa"/>
                </w:tcPr>
                <w:p>
                  <w:r>
                    <w:rPr>
                      <w:rFonts w:hint="eastAsia"/>
                    </w:rPr>
                    <w:t>新采购的设备名称/型号</w:t>
                  </w:r>
                </w:p>
              </w:tc>
              <w:tc>
                <w:tcPr>
                  <w:tcW w:w="2140" w:type="dxa"/>
                </w:tcPr>
                <w:p>
                  <w:r>
                    <w:rPr>
                      <w:rFonts w:hint="eastAsia"/>
                    </w:rPr>
                    <w:t>设备申购单号/日期</w:t>
                  </w:r>
                </w:p>
              </w:tc>
              <w:tc>
                <w:tcPr>
                  <w:tcW w:w="2090" w:type="dxa"/>
                </w:tcPr>
                <w:p>
                  <w:r>
                    <w:rPr>
                      <w:rFonts w:hint="eastAsia"/>
                    </w:rPr>
                    <w:t>设备验收单号/日期</w:t>
                  </w:r>
                </w:p>
              </w:tc>
              <w:tc>
                <w:tcPr>
                  <w:tcW w:w="2051" w:type="dxa"/>
                </w:tcPr>
                <w:p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140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051" w:type="dxa"/>
                </w:tcPr>
                <w:p>
                  <w:r>
                    <w:rPr>
                      <w:rFonts w:ascii="Calibri" w:hAnsi="Calibri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2140" w:type="dxa"/>
                </w:tcPr>
                <w:p/>
              </w:tc>
              <w:tc>
                <w:tcPr>
                  <w:tcW w:w="2090" w:type="dxa"/>
                </w:tcPr>
                <w:p/>
              </w:tc>
              <w:tc>
                <w:tcPr>
                  <w:tcW w:w="2051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/>
              </w:tc>
              <w:tc>
                <w:tcPr>
                  <w:tcW w:w="2140" w:type="dxa"/>
                </w:tcPr>
                <w:p/>
              </w:tc>
              <w:tc>
                <w:tcPr>
                  <w:tcW w:w="2090" w:type="dxa"/>
                </w:tcPr>
                <w:p/>
              </w:tc>
              <w:tc>
                <w:tcPr>
                  <w:tcW w:w="2051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齐全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r>
              <w:rPr>
                <w:rFonts w:hint="eastAsia"/>
              </w:rPr>
              <w:t>查看对设备维保的控制；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提供有《生产设备清单》、《202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年度设备保养计划》、《设备日常保养表》，随机抽取：</w:t>
            </w:r>
          </w:p>
          <w:tbl>
            <w:tblPr>
              <w:tblStyle w:val="9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3"/>
              <w:gridCol w:w="1080"/>
              <w:gridCol w:w="1498"/>
              <w:gridCol w:w="1062"/>
              <w:gridCol w:w="4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20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08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设备名称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06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维保周期</w:t>
                  </w:r>
                </w:p>
              </w:tc>
              <w:tc>
                <w:tcPr>
                  <w:tcW w:w="41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20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080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雷蒙磨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22-06-02</w:t>
                  </w:r>
                </w:p>
              </w:tc>
              <w:tc>
                <w:tcPr>
                  <w:tcW w:w="1062" w:type="dxa"/>
                </w:tcPr>
                <w:p>
                  <w:pPr>
                    <w:rPr>
                      <w:rFonts w:hint="default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每年2次</w:t>
                  </w:r>
                </w:p>
              </w:tc>
              <w:tc>
                <w:tcPr>
                  <w:tcW w:w="4134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检查、保养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20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080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包装机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2-06-08</w:t>
                  </w:r>
                </w:p>
              </w:tc>
              <w:tc>
                <w:tcPr>
                  <w:tcW w:w="1062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每年2次</w:t>
                  </w:r>
                </w:p>
              </w:tc>
              <w:tc>
                <w:tcPr>
                  <w:tcW w:w="41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检查、保养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0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080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洗矿机</w:t>
                  </w:r>
                </w:p>
              </w:tc>
              <w:tc>
                <w:tcPr>
                  <w:tcW w:w="149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2022-06-06</w:t>
                  </w:r>
                </w:p>
              </w:tc>
              <w:tc>
                <w:tcPr>
                  <w:tcW w:w="1062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每年2次</w:t>
                  </w:r>
                </w:p>
              </w:tc>
              <w:tc>
                <w:tcPr>
                  <w:tcW w:w="41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检查、保养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20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08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9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062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413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维保内容比较笼统，已与企业沟通</w:t>
            </w:r>
          </w:p>
          <w:p>
            <w:pPr>
              <w:pStyle w:val="4"/>
              <w:ind w:left="0" w:leftChars="0" w:firstLine="0" w:firstLineChars="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生产加工设备每日进行日保养，随机抽取2022-03/2022-05月，按照运行保养要求进行管理。</w:t>
            </w:r>
          </w:p>
          <w:p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查看对设备维修的控制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提供有《生产设备维修记录》</w:t>
            </w:r>
          </w:p>
          <w:tbl>
            <w:tblPr>
              <w:tblStyle w:val="9"/>
              <w:tblW w:w="912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174"/>
              <w:gridCol w:w="1898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>
                  <w:r>
                    <w:rPr>
                      <w:rFonts w:hint="eastAsia"/>
                    </w:rPr>
                    <w:t>维修日期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/>
                    </w:rPr>
                    <w:t>维修内容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hint="eastAsia" w:ascii="Calibri" w:hAnsi="Calibri"/>
                    </w:rPr>
                    <w:t>验收结果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生产设备维修记录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雷蒙磨</w:t>
                  </w:r>
                </w:p>
              </w:tc>
              <w:tc>
                <w:tcPr>
                  <w:tcW w:w="1174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2022.01.10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磨轮加润滑油</w:t>
                  </w:r>
                </w:p>
              </w:tc>
              <w:tc>
                <w:tcPr>
                  <w:tcW w:w="1898" w:type="dxa"/>
                </w:tcPr>
                <w:p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生产设备维修记录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洗矿机</w:t>
                  </w:r>
                </w:p>
              </w:tc>
              <w:tc>
                <w:tcPr>
                  <w:tcW w:w="1174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2022.07.03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洗矿机电机烧毁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生产设备维修记录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破碎机</w:t>
                  </w:r>
                </w:p>
              </w:tc>
              <w:tc>
                <w:tcPr>
                  <w:tcW w:w="1174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2022.08.13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电机烧毁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/>
          <w:p>
            <w:pPr>
              <w:pStyle w:val="4"/>
            </w:pPr>
          </w:p>
          <w:p>
            <w:r>
              <w:rPr>
                <w:rFonts w:hint="eastAsia"/>
              </w:rPr>
              <w:t>设备完好情况</w:t>
            </w:r>
          </w:p>
          <w:p>
            <w:r>
              <w:rPr>
                <w:rFonts w:hint="eastAsia"/>
              </w:rPr>
              <w:t>是否发生设备故障引起停产：</w:t>
            </w:r>
            <w:r>
              <w:rPr>
                <w:rFonts w:hint="eastAsia" w:ascii="Calibri" w:hAnsi="Calibri"/>
              </w:rPr>
              <w:t>☑</w:t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 w:ascii="Calibri" w:hAnsi="Calibri"/>
              </w:rPr>
              <w:t>□</w:t>
            </w:r>
            <w:r>
              <w:rPr>
                <w:rFonts w:hint="eastAsia"/>
              </w:rPr>
              <w:t>已发生</w:t>
            </w:r>
          </w:p>
          <w:tbl>
            <w:tblPr>
              <w:tblStyle w:val="9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</w:tcPr>
                <w:p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>
                  <w:r>
                    <w:rPr>
                      <w:rFonts w:hint="eastAsia" w:ascii="Calibri" w:hAnsi="Calibri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/>
              </w:tc>
              <w:tc>
                <w:tcPr>
                  <w:tcW w:w="1363" w:type="dxa"/>
                </w:tcPr>
                <w:p/>
              </w:tc>
              <w:tc>
                <w:tcPr>
                  <w:tcW w:w="1817" w:type="dxa"/>
                </w:tcPr>
                <w:p/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/>
              </w:tc>
            </w:tr>
          </w:tbl>
          <w:p>
            <w:pPr>
              <w:pStyle w:val="11"/>
            </w:pPr>
          </w:p>
          <w:p>
            <w:r>
              <w:rPr>
                <w:rFonts w:hint="eastAsia"/>
              </w:rPr>
              <w:t>特种设备控制</w:t>
            </w:r>
          </w:p>
          <w:p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叉车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行车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锅炉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电梯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压力容器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压力管道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不适用  </w:t>
            </w:r>
          </w:p>
          <w:tbl>
            <w:tblPr>
              <w:tblStyle w:val="9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3"/>
              <w:gridCol w:w="1410"/>
              <w:gridCol w:w="1997"/>
              <w:gridCol w:w="1516"/>
              <w:gridCol w:w="1557"/>
              <w:gridCol w:w="14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410" w:type="dxa"/>
                </w:tcPr>
                <w:p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997" w:type="dxa"/>
                </w:tcPr>
                <w:p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516" w:type="dxa"/>
                </w:tcPr>
                <w:p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97" w:type="dxa"/>
                </w:tcPr>
                <w:p>
                  <w:r>
                    <w:t>DC-202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t>1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JZH-0006</w:t>
                  </w:r>
                </w:p>
              </w:tc>
              <w:tc>
                <w:tcPr>
                  <w:tcW w:w="1516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年</w:t>
                  </w:r>
                  <w:r>
                    <w:t>11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41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97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t>DC-202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t>1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JZH-0005</w:t>
                  </w:r>
                </w:p>
              </w:tc>
              <w:tc>
                <w:tcPr>
                  <w:tcW w:w="1516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1</w:t>
                  </w:r>
                  <w:r>
                    <w:rPr>
                      <w:rFonts w:hint="eastAsia"/>
                    </w:rPr>
                    <w:t>年</w:t>
                  </w:r>
                  <w:r>
                    <w:t>11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557" w:type="dxa"/>
                </w:tcPr>
                <w:p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997" w:type="dxa"/>
                </w:tcPr>
                <w:p/>
              </w:tc>
              <w:tc>
                <w:tcPr>
                  <w:tcW w:w="1516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997" w:type="dxa"/>
                </w:tcPr>
                <w:p/>
              </w:tc>
              <w:tc>
                <w:tcPr>
                  <w:tcW w:w="1516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997" w:type="dxa"/>
                </w:tcPr>
                <w:p/>
              </w:tc>
              <w:tc>
                <w:tcPr>
                  <w:tcW w:w="1516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083" w:type="dxa"/>
                </w:tcPr>
                <w:p>
                  <w:r>
                    <w:rPr>
                      <w:rFonts w:hint="eastAsia"/>
                    </w:rPr>
                    <w:t>电梯</w:t>
                  </w:r>
                </w:p>
              </w:tc>
              <w:tc>
                <w:tcPr>
                  <w:tcW w:w="1410" w:type="dxa"/>
                </w:tcPr>
                <w:p/>
              </w:tc>
              <w:tc>
                <w:tcPr>
                  <w:tcW w:w="1997" w:type="dxa"/>
                </w:tcPr>
                <w:p/>
              </w:tc>
              <w:tc>
                <w:tcPr>
                  <w:tcW w:w="1516" w:type="dxa"/>
                </w:tcPr>
                <w:p>
                  <w:pPr>
                    <w:ind w:firstLine="420" w:firstLineChars="200"/>
                  </w:pPr>
                  <w:r>
                    <w:rPr>
                      <w:rFonts w:hint="eastAsia"/>
                    </w:rPr>
                    <w:t>年  月  日</w:t>
                  </w:r>
                </w:p>
              </w:tc>
              <w:tc>
                <w:tcPr>
                  <w:tcW w:w="1557" w:type="dxa"/>
                </w:tcPr>
                <w:p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 xml:space="preserve">有效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4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</w:tbl>
          <w:p/>
          <w:p>
            <w:pPr>
              <w:pStyle w:val="4"/>
            </w:pPr>
          </w:p>
          <w:tbl>
            <w:tblPr>
              <w:tblStyle w:val="9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8"/>
              <w:gridCol w:w="1559"/>
              <w:gridCol w:w="1701"/>
              <w:gridCol w:w="1701"/>
              <w:gridCol w:w="1984"/>
              <w:gridCol w:w="9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7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特种设备维护保养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647" w:type="dxa"/>
                  <w:gridSpan w:val="2"/>
                  <w:vMerge w:val="restart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自检</w:t>
                  </w:r>
                </w:p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维保计划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94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647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维修内容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647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2-06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检查、保养等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647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94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7" w:type="dxa"/>
                  <w:gridSpan w:val="2"/>
                  <w:vMerge w:val="restart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外包（电梯）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供方名称：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维保合同期限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相关资质证书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7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94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7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特种设备日常点检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抽查设备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编号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抽查点检记录的月份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现场查看设备的完好情况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叉车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highlight w:val="none"/>
                    </w:rPr>
                    <w:t>年9 月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完好</w:t>
                  </w:r>
                </w:p>
              </w:tc>
              <w:tc>
                <w:tcPr>
                  <w:tcW w:w="198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8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叉车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1701" w:type="dxa"/>
                  <w:vAlign w:val="top"/>
                </w:tcPr>
                <w:p>
                  <w:pPr>
                    <w:ind w:firstLine="420" w:firstLineChars="20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84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压力容器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701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锅炉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701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压力管道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701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8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——</w:t>
                  </w:r>
                </w:p>
              </w:tc>
              <w:tc>
                <w:tcPr>
                  <w:tcW w:w="1701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9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</w:tc>
        <w:tc>
          <w:tcPr>
            <w:tcW w:w="1585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793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F7.1.4 </w:t>
            </w:r>
          </w:p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 xml:space="preserve">如：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手册第7.1.4条款</w:t>
            </w:r>
          </w:p>
        </w:tc>
        <w:tc>
          <w:tcPr>
            <w:tcW w:w="15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793" w:type="dxa"/>
            <w:gridSpan w:val="2"/>
            <w:vMerge w:val="continue"/>
            <w:shd w:val="clear" w:color="auto" w:fill="auto"/>
          </w:tcPr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组织确定、提供和保持建立、管理和维护工作环境所需的资源，以实现与FSMS要求的一致性。</w:t>
            </w:r>
          </w:p>
          <w:p>
            <w:r>
              <w:rPr>
                <w:rFonts w:hint="eastAsia"/>
              </w:rPr>
              <w:t xml:space="preserve">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/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非歧视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安定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尊重员工，建立沟通渠道，关注员工身心健康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严格的疫情防控要求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减压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预防过度疲劳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不随意加班、良好的工作氛围、劳保</w:t>
                  </w:r>
                  <w:r>
                    <w:rPr>
                      <w:rFonts w:hint="eastAsia"/>
                      <w:lang w:val="en-US" w:eastAsia="zh-CN"/>
                    </w:rPr>
                    <w:t>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温度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湿度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照明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空气流通 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卫生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</w:rPr>
                    <w:t>按照《前提方案RPR》进行控制</w:t>
                  </w:r>
                </w:p>
              </w:tc>
            </w:tr>
          </w:tbl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现场观察生产加工环境以及办公环境基本良好。</w:t>
            </w:r>
          </w:p>
        </w:tc>
        <w:tc>
          <w:tcPr>
            <w:tcW w:w="1585" w:type="dxa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前提方案（PRP）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F8.2</w:t>
            </w:r>
          </w:p>
          <w:p/>
        </w:tc>
        <w:tc>
          <w:tcPr>
            <w:tcW w:w="899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</w:t>
            </w:r>
          </w:p>
        </w:tc>
        <w:tc>
          <w:tcPr>
            <w:tcW w:w="1585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 xml:space="preserve">符合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</w:rPr>
              <w:t>不符合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793" w:type="dxa"/>
            <w:gridSpan w:val="2"/>
            <w:vMerge w:val="continue"/>
          </w:tcPr>
          <w:p/>
        </w:tc>
        <w:tc>
          <w:tcPr>
            <w:tcW w:w="899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  <w:gridSpan w:val="3"/>
            <w:shd w:val="clear" w:color="auto" w:fill="auto"/>
          </w:tcPr>
          <w:p>
            <w:r>
              <w:rPr>
                <w:rFonts w:hint="eastAsia"/>
              </w:rPr>
              <w:t>前提方案的实施情况包括：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公司位于</w:t>
            </w:r>
            <w:r>
              <w:rPr>
                <w:rFonts w:hint="eastAsia"/>
                <w:szCs w:val="21"/>
                <w:u w:val="single"/>
              </w:rPr>
              <w:t>贵州省黔南州独山县麻尾工业园内</w:t>
            </w:r>
          </w:p>
          <w:p>
            <w:pPr>
              <w:ind w:firstLine="210" w:firstLineChars="100"/>
            </w:pPr>
            <w:r>
              <w:rPr>
                <w:rFonts w:hint="eastAsia" w:ascii="宋体" w:hAnsi="宋体"/>
                <w:szCs w:val="21"/>
              </w:rPr>
              <w:t>与公司地理位置图、平面图、设备台账一致。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</w:t>
            </w:r>
          </w:p>
          <w:p>
            <w:pPr>
              <w:ind w:firstLine="210" w:firstLineChars="100"/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经营面积约有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  <w:u w:val="single"/>
              </w:rPr>
              <w:t>亩。常温仓库1个；生产车间2个（工业钙和食品钙）；检验室2个（理化室和微生物室）；设有卫生间在1楼，与生产加工区有分隔；设有一次更衣室；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审核期间远程巡视及沟通询问基本无变化。</w:t>
            </w:r>
          </w:p>
          <w:p>
            <w:pPr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与平面图一致。</w:t>
            </w:r>
          </w:p>
          <w:p>
            <w:pPr>
              <w:ind w:firstLine="210" w:firstLineChars="1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szCs w:val="21"/>
                <w:u w:val="single"/>
              </w:rPr>
              <w:t>查看重质碳酸钙的生产提供过程管理，与流程图基本一致。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对水流、物流和人流有区域划分，基本满足不交叉；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包括虫害控制、 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车间内垃圾桶带盖，每天加工结束进行清理；</w:t>
            </w:r>
          </w:p>
          <w:p>
            <w:pPr>
              <w:ind w:left="210" w:leftChars="100"/>
              <w:rPr>
                <w:rFonts w:hint="default"/>
                <w:color w:val="FF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t>车间安装有虫鼠害防治措施，</w:t>
            </w:r>
            <w:r>
              <w:rPr>
                <w:rFonts w:hint="eastAsia"/>
                <w:color w:val="000000"/>
                <w:szCs w:val="21"/>
                <w:u w:val="single"/>
              </w:rPr>
              <w:t>包装车间、仓库配置了灭蝇措施，</w:t>
            </w:r>
            <w:r>
              <w:rPr>
                <w:rFonts w:hint="eastAsia"/>
                <w:color w:val="FF0000"/>
                <w:szCs w:val="21"/>
                <w:u w:val="single"/>
              </w:rPr>
              <w:t>洗手更衣间灭蝇灯中有大量蚊蝇未及时清理、内包间灭蝇灯已坏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；开具不符合项。</w:t>
            </w:r>
          </w:p>
          <w:p>
            <w:pPr>
              <w:ind w:left="210" w:leftChars="100"/>
              <w:rPr>
                <w:u w:val="single"/>
              </w:rPr>
            </w:pPr>
            <w:r>
              <w:rPr>
                <w:rFonts w:hint="eastAsia"/>
                <w:u w:val="single"/>
              </w:rPr>
              <w:t>每周对加工现场进行虫害检查，提供有《虫鼠害</w:t>
            </w:r>
            <w:r>
              <w:rPr>
                <w:rFonts w:hint="eastAsia"/>
                <w:u w:val="single"/>
                <w:lang w:val="en-US" w:eastAsia="zh-CN"/>
              </w:rPr>
              <w:t>检查</w:t>
            </w:r>
            <w:r>
              <w:rPr>
                <w:rFonts w:hint="eastAsia"/>
                <w:u w:val="single"/>
              </w:rPr>
              <w:t>记录》，每周检查一次；随机抽查202</w:t>
            </w:r>
            <w:r>
              <w:rPr>
                <w:rFonts w:hint="eastAsia"/>
                <w:u w:val="single"/>
                <w:lang w:val="en-US" w:eastAsia="zh-CN"/>
              </w:rPr>
              <w:t>2.07-2022.08，未见明显异常</w:t>
            </w:r>
            <w:r>
              <w:rPr>
                <w:rFonts w:hint="eastAsia"/>
                <w:u w:val="single"/>
              </w:rPr>
              <w:t>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设备的适宜性，及其清洁、保养和预防性维护的可实现性；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设备</w:t>
            </w:r>
            <w:r>
              <w:rPr>
                <w:rFonts w:hint="eastAsia"/>
                <w:u w:val="single"/>
                <w:lang w:val="en-US" w:eastAsia="zh-CN"/>
              </w:rPr>
              <w:t>设施</w:t>
            </w:r>
            <w:r>
              <w:rPr>
                <w:rFonts w:hint="eastAsia"/>
                <w:u w:val="single"/>
              </w:rPr>
              <w:t>主要以清洁为主，内包间内包材采用紫外线班后进行消毒</w:t>
            </w:r>
            <w:r>
              <w:rPr>
                <w:rFonts w:hint="eastAsia"/>
                <w:u w:val="single"/>
                <w:lang w:eastAsia="zh-CN"/>
              </w:rPr>
              <w:t>；</w:t>
            </w:r>
          </w:p>
          <w:p>
            <w:pPr>
              <w:pStyle w:val="1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提供有《内包材消毒记录》，随机抽取2022-04-05至2022-06-13，消毒人员：莫**，未见异常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供应商保证过程（如原料、 辅料、 化学品和包装材料） ；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见“供销部”审核记录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widowControl/>
              <w:ind w:firstLine="210" w:firstLineChars="100"/>
              <w:jc w:val="left"/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</w:rPr>
              <w:t>有《成品入库、出库记录表》</w:t>
            </w:r>
            <w:r>
              <w:rPr>
                <w:rFonts w:hint="eastAsia"/>
                <w:szCs w:val="22"/>
                <w:highlight w:val="none"/>
                <w:u w:val="single"/>
              </w:rPr>
              <w:t>。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视频</w:t>
            </w:r>
            <w:r>
              <w:rPr>
                <w:rFonts w:hint="eastAsia" w:ascii="宋体" w:hAnsi="宋体"/>
                <w:szCs w:val="21"/>
                <w:u w:val="single"/>
              </w:rPr>
              <w:t>观察——仓库路面全部硬化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较为</w:t>
            </w:r>
            <w:r>
              <w:rPr>
                <w:rFonts w:hint="eastAsia" w:ascii="宋体" w:hAnsi="宋体"/>
                <w:szCs w:val="21"/>
                <w:u w:val="single"/>
              </w:rPr>
              <w:t>平整，材质，结构，建筑物，门窗，基本符合；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基本干净整洁，分区域存放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有待检、不合格品等标识；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灭火器完好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eastAsia="zh-CN"/>
              </w:rPr>
              <w:t>；</w:t>
            </w:r>
          </w:p>
          <w:p>
            <w:pPr>
              <w:ind w:firstLine="211" w:firstLineChars="100"/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left="1680" w:leftChars="100" w:hanging="1470" w:hangingChars="700"/>
            </w:pPr>
            <w:r>
              <w:rPr>
                <w:rFonts w:hint="eastAsia"/>
              </w:rPr>
              <w:t>加工场所分为：</w:t>
            </w:r>
          </w:p>
          <w:p>
            <w:pPr>
              <w:pStyle w:val="4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t>设置有原料（矿石）堆放间，粉磨间、灌装（包装）间；其中投料口设置于车间外部，与粉磨机及灌装场所分离，防止因区域产生交叉污染，基本符合</w:t>
            </w:r>
            <w:r>
              <w:rPr>
                <w:rFonts w:hint="eastAsia"/>
                <w:u w:val="single"/>
                <w:lang w:eastAsia="zh-CN"/>
              </w:rPr>
              <w:t>。</w:t>
            </w:r>
            <w:r>
              <w:rPr>
                <w:rFonts w:hint="eastAsia"/>
                <w:u w:val="single"/>
                <w:lang w:val="en-US" w:eastAsia="zh-CN"/>
              </w:rPr>
              <w:t>审核周期内未发生变化。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每天工作结束主要以清洁为主，环境基本干净整洁；</w:t>
            </w:r>
          </w:p>
          <w:p>
            <w:pPr>
              <w:pStyle w:val="4"/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健康证见“办公室”审核记录，</w:t>
            </w:r>
          </w:p>
          <w:p>
            <w:pPr>
              <w:ind w:firstLine="210" w:firstLineChars="1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视频巡视内包间正在包装1吨规格的重质碳酸钙，包装工莫**，穿有工作服、佩戴帽子及口罩；抽查健康证在有效期内；</w:t>
            </w:r>
          </w:p>
          <w:p>
            <w:pPr>
              <w:ind w:firstLine="210" w:firstLineChars="100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  <w:u w:val="single"/>
              </w:rPr>
              <w:t>每日进行晨检，提供有《个人卫生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日</w:t>
            </w:r>
            <w:r>
              <w:rPr>
                <w:rFonts w:hint="eastAsia"/>
                <w:highlight w:val="none"/>
                <w:u w:val="single"/>
              </w:rPr>
              <w:t>检查表》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抽查2022-03-02、2022-08-20，未见异常</w:t>
            </w:r>
            <w:r>
              <w:rPr>
                <w:rFonts w:hint="eastAsia"/>
                <w:highlight w:val="none"/>
                <w:u w:val="single"/>
              </w:rPr>
              <w:t>。</w:t>
            </w:r>
          </w:p>
          <w:p>
            <w:pPr>
              <w:pStyle w:val="11"/>
              <w:ind w:firstLine="230" w:firstLineChars="100"/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</w:rPr>
              <w:t>外来人员身体的健康告知：</w:t>
            </w:r>
            <w:r>
              <w:rPr>
                <w:rFonts w:hint="eastAsia"/>
                <w:highlight w:val="none"/>
                <w:u w:val="single"/>
              </w:rPr>
              <w:sym w:font="Wingdings" w:char="00A8"/>
            </w:r>
            <w:r>
              <w:rPr>
                <w:rFonts w:hint="eastAsia"/>
                <w:highlight w:val="none"/>
                <w:u w:val="single"/>
              </w:rPr>
              <w:t xml:space="preserve">健康证  </w:t>
            </w:r>
            <w:r>
              <w:rPr>
                <w:rFonts w:hint="eastAsia"/>
                <w:highlight w:val="none"/>
                <w:u w:val="single"/>
              </w:rPr>
              <w:sym w:font="Wingdings 2" w:char="0052"/>
            </w:r>
            <w:r>
              <w:rPr>
                <w:rFonts w:hint="eastAsia"/>
                <w:highlight w:val="none"/>
                <w:u w:val="single"/>
              </w:rPr>
              <w:t>良好身体健康告知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提供有《来访人员登记表》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抽查2022-08月，有登记来访人员姓名电话、健康码、体温等信息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产品信息/消费者意识；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该企业的产品主要是重质碳酸钙</w:t>
            </w:r>
          </w:p>
          <w:p>
            <w:pPr>
              <w:pStyle w:val="11"/>
              <w:ind w:firstLine="230" w:firstLineChars="100"/>
            </w:pPr>
            <w:r>
              <w:rPr>
                <w:rFonts w:hint="eastAsia"/>
                <w:u w:val="single"/>
              </w:rPr>
              <w:t>客户群体主要是作为食品添加剂使用；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l) 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无</w:t>
            </w:r>
          </w:p>
        </w:tc>
        <w:tc>
          <w:tcPr>
            <w:tcW w:w="1585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97" w:type="dxa"/>
            <w:gridSpan w:val="3"/>
            <w:vMerge w:val="restart"/>
          </w:tcPr>
          <w:p>
            <w:r>
              <w:t>标识和可追溯性</w:t>
            </w:r>
          </w:p>
        </w:tc>
        <w:tc>
          <w:tcPr>
            <w:tcW w:w="775" w:type="dxa"/>
            <w:vMerge w:val="restart"/>
          </w:tcPr>
          <w:p>
            <w:r>
              <w:t>F8.3</w:t>
            </w:r>
          </w:p>
          <w:p/>
        </w:tc>
        <w:tc>
          <w:tcPr>
            <w:tcW w:w="892" w:type="dxa"/>
            <w:gridSpan w:val="2"/>
          </w:tcPr>
          <w:p>
            <w:r>
              <w:t>文件名称</w:t>
            </w:r>
          </w:p>
        </w:tc>
        <w:tc>
          <w:tcPr>
            <w:tcW w:w="9252" w:type="dxa"/>
            <w:gridSpan w:val="2"/>
          </w:tcPr>
          <w:p>
            <w:r>
              <w:t>如：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>手册8.5.2条款、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>《</w:t>
            </w:r>
            <w:r>
              <w:rPr>
                <w:rFonts w:hint="eastAsia"/>
              </w:rPr>
              <w:t>产品标识</w:t>
            </w:r>
            <w:r>
              <w:rPr>
                <w:rFonts w:hint="eastAsia"/>
                <w:lang w:val="en-US" w:eastAsia="zh-CN"/>
              </w:rPr>
              <w:t>和可</w:t>
            </w:r>
            <w:r>
              <w:rPr>
                <w:rFonts w:hint="eastAsia"/>
              </w:rPr>
              <w:t>追溯程序</w:t>
            </w:r>
            <w:r>
              <w:rPr>
                <w:szCs w:val="16"/>
              </w:rPr>
              <w:t>》</w:t>
            </w:r>
            <w:r>
              <w:t>、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>《前提方案》</w:t>
            </w:r>
          </w:p>
        </w:tc>
        <w:tc>
          <w:tcPr>
            <w:tcW w:w="1593" w:type="dxa"/>
            <w:gridSpan w:val="4"/>
            <w:vMerge w:val="restart"/>
          </w:tcPr>
          <w:p>
            <w:r>
              <w:fldChar w:fldCharType="begin"/>
            </w:r>
            <w:r>
              <w:instrText xml:space="preserve"> eq \o\ac(□,</w:instrText>
            </w:r>
            <w:r>
              <w:rPr>
                <w:position w:val="2"/>
                <w:sz w:val="13"/>
              </w:rPr>
              <w:instrText xml:space="preserve">√</w:instrText>
            </w:r>
            <w:r>
              <w:instrText xml:space="preserve">)</w:instrText>
            </w:r>
            <w:r>
              <w:fldChar w:fldCharType="end"/>
            </w:r>
            <w:r>
              <w:t>符合</w:t>
            </w:r>
          </w:p>
          <w:p>
            <w:r>
              <w:rPr/>
              <w:sym w:font="Wingdings" w:char="00A8"/>
            </w:r>
            <w: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197" w:type="dxa"/>
            <w:gridSpan w:val="3"/>
            <w:vMerge w:val="continue"/>
          </w:tcPr>
          <w:p/>
        </w:tc>
        <w:tc>
          <w:tcPr>
            <w:tcW w:w="775" w:type="dxa"/>
            <w:vMerge w:val="continue"/>
          </w:tcPr>
          <w:p/>
        </w:tc>
        <w:tc>
          <w:tcPr>
            <w:tcW w:w="892" w:type="dxa"/>
            <w:gridSpan w:val="2"/>
          </w:tcPr>
          <w:p>
            <w:r>
              <w:t>运行证据</w:t>
            </w:r>
          </w:p>
        </w:tc>
        <w:tc>
          <w:tcPr>
            <w:tcW w:w="9252" w:type="dxa"/>
            <w:gridSpan w:val="2"/>
          </w:tcPr>
          <w:p>
            <w:r>
              <w:t>产品的检验状态标识：</w:t>
            </w:r>
            <w:r>
              <w:rPr/>
              <w:sym w:font="Wingdings" w:char="00FE"/>
            </w:r>
            <w:r>
              <w:t xml:space="preserve">待检 </w:t>
            </w:r>
            <w:r>
              <w:rPr/>
              <w:sym w:font="Wingdings" w:char="00A8"/>
            </w:r>
            <w:r>
              <w:t xml:space="preserve">待下结论 </w:t>
            </w:r>
            <w:r>
              <w:rPr/>
              <w:sym w:font="Wingdings" w:char="00FE"/>
            </w:r>
            <w:r>
              <w:t xml:space="preserve">合格  </w:t>
            </w:r>
            <w:r>
              <w:rPr/>
              <w:sym w:font="Wingdings" w:char="00FE"/>
            </w:r>
            <w:r>
              <w:t xml:space="preserve">不合格  </w:t>
            </w:r>
          </w:p>
          <w:p/>
          <w:p>
            <w:r>
              <w:t>在建立和实施可追溯性体系时，考虑了以下内容：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接收物料、配料、中间产品批量与最终产品的关系；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 xml:space="preserve"> </w:t>
            </w:r>
            <w:r>
              <w:rPr/>
              <w:sym w:font="Wingdings" w:char="00A8"/>
            </w:r>
            <w:r>
              <w:t>材料/产品的返工；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不涉及</w:t>
            </w:r>
            <w:r>
              <w:rPr>
                <w:rFonts w:hint="eastAsia"/>
                <w:lang w:eastAsia="zh-CN"/>
              </w:rPr>
              <w:t>）</w:t>
            </w:r>
          </w:p>
          <w:p>
            <w:r>
              <w:t xml:space="preserve"> </w:t>
            </w:r>
            <w:r>
              <w:rPr/>
              <w:sym w:font="Wingdings" w:char="00FE"/>
            </w:r>
            <w:r>
              <w:t>最终产品的分销。</w:t>
            </w:r>
          </w:p>
          <w:p/>
          <w:p>
            <w:r>
              <w:t>原材料的唯一性标识方式：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A8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>二维码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/>
              <w:sym w:font="Wingdings" w:char="00A8"/>
            </w:r>
            <w:r>
              <w:t>其他</w:t>
            </w:r>
            <w:r>
              <w:rPr>
                <w:rFonts w:hint="eastAsia"/>
              </w:rPr>
              <w:t>——存放库位</w:t>
            </w:r>
          </w:p>
          <w:p>
            <w:pPr>
              <w:rPr>
                <w:highlight w:val="yellow"/>
              </w:rPr>
            </w:pPr>
          </w:p>
          <w:p>
            <w:r>
              <w:t>半成品的唯一性标识方式：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通过管道，不涉及）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A8"/>
            </w:r>
            <w:r>
              <w:t xml:space="preserve">标牌  </w:t>
            </w:r>
            <w:r>
              <w:rPr/>
              <w:sym w:font="Wingdings" w:char="00A8"/>
            </w:r>
            <w:r>
              <w:t xml:space="preserve">标签  </w:t>
            </w:r>
            <w:r>
              <w:rPr/>
              <w:sym w:font="Wingdings" w:char="00A8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rPr/>
              <w:sym w:font="Wingdings" w:char="00A8"/>
            </w:r>
            <w:r>
              <w:t>其他</w:t>
            </w:r>
          </w:p>
          <w:p>
            <w:pPr>
              <w:rPr>
                <w:highlight w:val="yellow"/>
              </w:rPr>
            </w:pPr>
          </w:p>
          <w:p>
            <w:r>
              <w:t xml:space="preserve">成品的唯一性标识方式： </w:t>
            </w:r>
          </w:p>
          <w:p>
            <w:r>
              <w:rPr/>
              <w:sym w:font="Wingdings" w:char="00A8"/>
            </w:r>
            <w:r>
              <w:t xml:space="preserve">容器编号  </w:t>
            </w:r>
            <w:r>
              <w:rPr/>
              <w:sym w:font="Wingdings" w:char="00FE"/>
            </w:r>
            <w:r>
              <w:t xml:space="preserve">标牌  </w:t>
            </w:r>
            <w:r>
              <w:rPr/>
              <w:sym w:font="Wingdings" w:char="00FE"/>
            </w:r>
            <w:r>
              <w:t xml:space="preserve">标签  </w:t>
            </w:r>
            <w:r>
              <w:rPr/>
              <w:sym w:font="Wingdings" w:char="00FE"/>
            </w:r>
            <w:r>
              <w:t xml:space="preserve">区域  </w:t>
            </w:r>
            <w:r>
              <w:rPr/>
              <w:sym w:font="Wingdings" w:char="00A8"/>
            </w:r>
            <w:r>
              <w:t xml:space="preserve">周装箱的颜色  </w:t>
            </w:r>
            <w:r>
              <w:rPr/>
              <w:sym w:font="Wingdings" w:char="00A8"/>
            </w:r>
            <w:r>
              <w:t xml:space="preserve">批号打码 </w:t>
            </w:r>
            <w:r>
              <w:rPr/>
              <w:sym w:font="Wingdings" w:char="00A8"/>
            </w:r>
            <w:r>
              <w:t xml:space="preserve">条形码 </w:t>
            </w:r>
            <w:r>
              <w:rPr/>
              <w:sym w:font="Wingdings" w:char="00A8"/>
            </w:r>
            <w:r>
              <w:t xml:space="preserve">二维码 </w:t>
            </w:r>
            <w:r>
              <w:fldChar w:fldCharType="begin"/>
            </w:r>
            <w:r>
              <w:instrText xml:space="preserve"> eq \o\ac(□)</w:instrText>
            </w:r>
            <w:r>
              <w:fldChar w:fldCharType="end"/>
            </w:r>
            <w:r>
              <w:t>其他</w:t>
            </w:r>
            <w:r>
              <w:rPr>
                <w:rFonts w:hint="eastAsia"/>
              </w:rPr>
              <w:t>—周转筐</w:t>
            </w:r>
          </w:p>
          <w:p>
            <w:pPr>
              <w:pStyle w:val="2"/>
            </w:pP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组织于</w:t>
            </w:r>
            <w:r>
              <w:rPr>
                <w:highlight w:val="none"/>
                <w:u w:val="single"/>
              </w:rPr>
              <w:t xml:space="preserve">   202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2</w:t>
            </w:r>
            <w:r>
              <w:rPr>
                <w:highlight w:val="none"/>
                <w:u w:val="single"/>
              </w:rPr>
              <w:t>年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7</w:t>
            </w:r>
            <w:r>
              <w:rPr>
                <w:highlight w:val="none"/>
                <w:u w:val="single"/>
              </w:rPr>
              <w:t xml:space="preserve">月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25</w:t>
            </w:r>
            <w:r>
              <w:rPr>
                <w:highlight w:val="none"/>
                <w:u w:val="single"/>
              </w:rPr>
              <w:t>日</w:t>
            </w:r>
            <w:r>
              <w:rPr>
                <w:highlight w:val="none"/>
              </w:rPr>
              <w:t>验证和测试可追溯性体系的有效性。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追溯原因：</w:t>
            </w:r>
            <w:r>
              <w:rPr>
                <w:highlight w:val="none"/>
              </w:rPr>
              <w:sym w:font="Wingdings" w:char="00FE"/>
            </w:r>
            <w:r>
              <w:rPr>
                <w:highlight w:val="none"/>
              </w:rPr>
              <w:t xml:space="preserve">演练  </w:t>
            </w:r>
            <w:r>
              <w:rPr>
                <w:highlight w:val="none"/>
              </w:rPr>
              <w:sym w:font="Wingdings" w:char="00A8"/>
            </w:r>
            <w:r>
              <w:rPr>
                <w:highlight w:val="none"/>
              </w:rPr>
              <w:t xml:space="preserve">质量事故 </w:t>
            </w:r>
            <w:r>
              <w:rPr>
                <w:highlight w:val="none"/>
              </w:rPr>
              <w:sym w:font="Wingdings" w:char="00A8"/>
            </w:r>
            <w:r>
              <w:rPr>
                <w:highlight w:val="none"/>
              </w:rPr>
              <w:t xml:space="preserve">顾客投诉  </w:t>
            </w:r>
            <w:r>
              <w:rPr>
                <w:highlight w:val="none"/>
              </w:rPr>
              <w:sym w:font="Wingdings" w:char="00A8"/>
            </w:r>
            <w:r>
              <w:rPr>
                <w:highlight w:val="none"/>
              </w:rPr>
              <w:t xml:space="preserve">市场抽查不合格 </w:t>
            </w:r>
          </w:p>
          <w:tbl>
            <w:tblPr>
              <w:tblStyle w:val="9"/>
              <w:tblW w:w="89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8"/>
              <w:gridCol w:w="2200"/>
              <w:gridCol w:w="1235"/>
              <w:gridCol w:w="1166"/>
              <w:gridCol w:w="1256"/>
              <w:gridCol w:w="989"/>
              <w:gridCol w:w="1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产品批号</w:t>
                  </w:r>
                </w:p>
              </w:tc>
              <w:tc>
                <w:tcPr>
                  <w:tcW w:w="220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不合格简述</w:t>
                  </w:r>
                </w:p>
              </w:tc>
              <w:tc>
                <w:tcPr>
                  <w:tcW w:w="123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生产记录情况</w:t>
                  </w:r>
                </w:p>
              </w:tc>
              <w:tc>
                <w:tcPr>
                  <w:tcW w:w="116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检验记录情况</w:t>
                  </w:r>
                </w:p>
              </w:tc>
              <w:tc>
                <w:tcPr>
                  <w:tcW w:w="12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采购记录情况</w:t>
                  </w:r>
                </w:p>
              </w:tc>
              <w:tc>
                <w:tcPr>
                  <w:tcW w:w="98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产品留样确认</w:t>
                  </w:r>
                </w:p>
              </w:tc>
              <w:tc>
                <w:tcPr>
                  <w:tcW w:w="131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销售记录追踪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2100003481-N220401</w:t>
                  </w:r>
                </w:p>
              </w:tc>
              <w:tc>
                <w:tcPr>
                  <w:tcW w:w="2200" w:type="dxa"/>
                </w:tcPr>
                <w:p>
                  <w:pPr>
                    <w:spacing w:line="276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销售员反应给山东某客户发货的一车产品（重质碳酸钙），该批次白度存在问题</w:t>
                  </w:r>
                </w:p>
              </w:tc>
              <w:tc>
                <w:tcPr>
                  <w:tcW w:w="123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2022-04-01</w:t>
                  </w:r>
                </w:p>
              </w:tc>
              <w:tc>
                <w:tcPr>
                  <w:tcW w:w="116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2022-04-01</w:t>
                  </w:r>
                </w:p>
              </w:tc>
              <w:tc>
                <w:tcPr>
                  <w:tcW w:w="125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98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未进行确认，已与企业沟通</w:t>
                  </w:r>
                </w:p>
              </w:tc>
              <w:tc>
                <w:tcPr>
                  <w:tcW w:w="1316" w:type="dxa"/>
                </w:tcPr>
                <w:p>
                  <w:pPr>
                    <w:spacing w:line="276" w:lineRule="auto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已发出的32吨全部召回</w:t>
                  </w:r>
                </w:p>
              </w:tc>
            </w:tr>
          </w:tbl>
          <w:p/>
          <w:p>
            <w:r>
              <w:t>可追溯性系统证据的保留期限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36</w:t>
            </w:r>
            <w:r>
              <w:t xml:space="preserve">个月，至少包括产品的保质期 </w:t>
            </w:r>
            <w:r>
              <w:rPr>
                <w:rFonts w:hint="eastAsia"/>
                <w:u w:val="single"/>
              </w:rPr>
              <w:t>24</w:t>
            </w:r>
            <w:r>
              <w:rPr>
                <w:u w:val="single"/>
              </w:rPr>
              <w:t xml:space="preserve"> </w:t>
            </w:r>
            <w:r>
              <w:t>个月。</w:t>
            </w:r>
          </w:p>
          <w:p/>
          <w:p>
            <w:pPr>
              <w:pStyle w:val="4"/>
              <w:ind w:left="0" w:leftChars="0" w:firstLine="0" w:firstLineChars="0"/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t>产品留样</w:t>
            </w:r>
            <w:r>
              <w:rPr>
                <w:rFonts w:hint="eastAsia"/>
                <w:lang w:eastAsia="zh-CN"/>
              </w:rPr>
              <w:t>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9"/>
              <w:gridCol w:w="1357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9" w:type="dxa"/>
                </w:tcPr>
                <w:p>
                  <w:r>
                    <w:t>产品名称</w:t>
                  </w:r>
                </w:p>
              </w:tc>
              <w:tc>
                <w:tcPr>
                  <w:tcW w:w="1357" w:type="dxa"/>
                </w:tcPr>
                <w:p>
                  <w:r>
                    <w:t>规格</w:t>
                  </w:r>
                </w:p>
              </w:tc>
              <w:tc>
                <w:tcPr>
                  <w:tcW w:w="1809" w:type="dxa"/>
                </w:tcPr>
                <w:p>
                  <w: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碳酸钙 重质碳酸钙</w:t>
                  </w:r>
                </w:p>
              </w:tc>
              <w:tc>
                <w:tcPr>
                  <w:tcW w:w="1357" w:type="dxa"/>
                </w:tcPr>
                <w:p>
                  <w:r>
                    <w:rPr>
                      <w:rFonts w:hint="eastAsia"/>
                    </w:rPr>
                    <w:t>25kg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2-06-18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24个月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密封常温保存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9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碳酸钙 重质碳酸钙</w:t>
                  </w:r>
                </w:p>
              </w:tc>
              <w:tc>
                <w:tcPr>
                  <w:tcW w:w="1357" w:type="dxa"/>
                </w:tcPr>
                <w:p>
                  <w:r>
                    <w:rPr>
                      <w:rFonts w:hint="eastAsia"/>
                    </w:rPr>
                    <w:t>25kg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2-08-21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24个月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密封常温保存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9" w:type="dxa"/>
                </w:tcPr>
                <w:p/>
              </w:tc>
              <w:tc>
                <w:tcPr>
                  <w:tcW w:w="1357" w:type="dxa"/>
                </w:tcPr>
                <w:p/>
              </w:tc>
              <w:tc>
                <w:tcPr>
                  <w:tcW w:w="1809" w:type="dxa"/>
                </w:tcPr>
                <w:p/>
              </w:tc>
              <w:tc>
                <w:tcPr>
                  <w:tcW w:w="1809" w:type="dxa"/>
                </w:tcPr>
                <w:p/>
              </w:tc>
              <w:tc>
                <w:tcPr>
                  <w:tcW w:w="1809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59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357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</w:tbl>
          <w:p/>
          <w:p>
            <w:r>
              <w:t>系统的验证包括最终产品数量与成分数量的核对，作为追溯性有效性的证据。</w:t>
            </w:r>
            <w:r>
              <w:rPr/>
              <w:sym w:font="Wingdings" w:char="00FE"/>
            </w:r>
            <w:r>
              <w:t xml:space="preserve">是  </w:t>
            </w:r>
            <w:r>
              <w:rPr/>
              <w:sym w:font="Wingdings" w:char="00A8"/>
            </w:r>
            <w:r>
              <w:t>否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593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97" w:type="dxa"/>
            <w:gridSpan w:val="3"/>
            <w:vMerge w:val="continue"/>
          </w:tcPr>
          <w:p/>
        </w:tc>
        <w:tc>
          <w:tcPr>
            <w:tcW w:w="775" w:type="dxa"/>
            <w:vMerge w:val="continue"/>
          </w:tcPr>
          <w:p/>
        </w:tc>
        <w:tc>
          <w:tcPr>
            <w:tcW w:w="892" w:type="dxa"/>
            <w:gridSpan w:val="2"/>
          </w:tcPr>
          <w:p>
            <w:r>
              <w:rPr>
                <w:rFonts w:hint="eastAsia"/>
                <w:lang w:val="en-US" w:eastAsia="zh-CN"/>
              </w:rPr>
              <w:t>远程视频</w:t>
            </w:r>
            <w:r>
              <w:t>观察</w:t>
            </w:r>
          </w:p>
        </w:tc>
        <w:tc>
          <w:tcPr>
            <w:tcW w:w="9252" w:type="dxa"/>
            <w:gridSpan w:val="2"/>
          </w:tcPr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t>在生产或服务场所对原材料的标识情况：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u w:val="single"/>
                <w:lang w:val="en-US" w:eastAsia="zh-CN"/>
              </w:rPr>
              <w:t>分区域存放</w:t>
            </w:r>
          </w:p>
          <w:p>
            <w:pPr>
              <w:rPr>
                <w:rFonts w:hint="default"/>
                <w:lang w:val="en-US"/>
              </w:rPr>
            </w:pPr>
            <w:r>
              <w:t>在生产或服务场所对半成品的标识情况：</w:t>
            </w:r>
            <w:r>
              <w:rPr/>
              <w:sym w:font="Wingdings" w:char="00A8"/>
            </w:r>
            <w:r>
              <w:t xml:space="preserve">区分清楚  </w:t>
            </w:r>
            <w:r>
              <w:rPr/>
              <w:sym w:font="Wingdings" w:char="00A8"/>
            </w:r>
            <w:r>
              <w:t xml:space="preserve">防护得当 </w:t>
            </w:r>
            <w:r>
              <w:rPr/>
              <w:sym w:font="Wingdings" w:char="00A8"/>
            </w:r>
            <w:r>
              <w:t xml:space="preserve">不适宜说明： </w:t>
            </w:r>
            <w:r>
              <w:rPr>
                <w:rFonts w:hint="eastAsia"/>
                <w:lang w:val="en-US" w:eastAsia="zh-CN"/>
              </w:rPr>
              <w:t>无半成品，按照生产工艺连续型进行生产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t xml:space="preserve">在生产或服务场所对成品的标识情况：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lang w:val="en-US" w:eastAsia="zh-CN"/>
              </w:rPr>
              <w:t>包装好后传递到成品库存放</w:t>
            </w:r>
          </w:p>
          <w:p>
            <w:pPr>
              <w:rPr>
                <w:highlight w:val="yellow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t>在原材料库房的标识情况：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u w:val="single"/>
                <w:lang w:val="en-US" w:eastAsia="zh-CN"/>
              </w:rPr>
              <w:t>分区域存放，有食品级区域标识</w:t>
            </w:r>
          </w:p>
          <w:p>
            <w:r>
              <w:t>在半成品库房的标识情况：</w:t>
            </w:r>
            <w:r>
              <w:rPr/>
              <w:sym w:font="Wingdings" w:char="00A8"/>
            </w:r>
            <w:r>
              <w:t xml:space="preserve">区分清楚  </w:t>
            </w:r>
            <w:r>
              <w:rPr/>
              <w:sym w:font="Wingdings" w:char="00A8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</w:rPr>
              <w:t>不涉及</w:t>
            </w:r>
          </w:p>
          <w:p>
            <w:r>
              <w:t xml:space="preserve">在成品库房的标识情况：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区分清楚  </w:t>
            </w:r>
            <w:r>
              <w:fldChar w:fldCharType="begin"/>
            </w:r>
            <w:r>
              <w:instrText xml:space="preserve"> eq \o\ac(□,√)</w:instrText>
            </w:r>
            <w:r>
              <w:fldChar w:fldCharType="end"/>
            </w:r>
            <w:r>
              <w:t xml:space="preserve">防护得当 </w:t>
            </w:r>
            <w:r>
              <w:rPr/>
              <w:sym w:font="Wingdings" w:char="00A8"/>
            </w:r>
            <w:r>
              <w:t>不适宜说明：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现场观察：成品（25kg）存放基本隔墙离地、有托盘存放、标签标识清楚；</w:t>
            </w:r>
          </w:p>
          <w:p>
            <w:pPr>
              <w:ind w:firstLine="1050" w:firstLineChars="50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大包装（1吨装）部分直接存放在地面，与企业沟通，企业表示即将装车发货；</w:t>
            </w:r>
          </w:p>
          <w:p/>
        </w:tc>
        <w:tc>
          <w:tcPr>
            <w:tcW w:w="1593" w:type="dxa"/>
            <w:gridSpan w:val="4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68" w:hRule="atLeast"/>
        </w:trPr>
        <w:tc>
          <w:tcPr>
            <w:tcW w:w="2188" w:type="dxa"/>
            <w:gridSpan w:val="2"/>
            <w:vMerge w:val="restart"/>
            <w:shd w:val="clear" w:color="auto" w:fill="auto"/>
          </w:tcPr>
          <w:p>
            <w:r>
              <w:t>应急预案</w:t>
            </w:r>
          </w:p>
        </w:tc>
        <w:tc>
          <w:tcPr>
            <w:tcW w:w="775" w:type="dxa"/>
            <w:vMerge w:val="restart"/>
            <w:shd w:val="clear" w:color="auto" w:fill="auto"/>
          </w:tcPr>
          <w:p>
            <w:r>
              <w:t>F8.4</w:t>
            </w:r>
          </w:p>
          <w:p/>
        </w:tc>
        <w:tc>
          <w:tcPr>
            <w:tcW w:w="892" w:type="dxa"/>
            <w:gridSpan w:val="2"/>
            <w:shd w:val="clear" w:color="auto" w:fill="auto"/>
          </w:tcPr>
          <w:p>
            <w:r>
              <w:t>文件名称</w:t>
            </w:r>
          </w:p>
        </w:tc>
        <w:tc>
          <w:tcPr>
            <w:tcW w:w="9255" w:type="dxa"/>
            <w:gridSpan w:val="3"/>
            <w:shd w:val="clear" w:color="auto" w:fill="auto"/>
          </w:tcPr>
          <w:p>
            <w:r>
              <w:t>如：</w:t>
            </w:r>
            <w:r>
              <w:rPr/>
              <w:sym w:font="Wingdings" w:char="00FE"/>
            </w:r>
            <w:r>
              <w:t>《应急准备和响应控制程序》、</w:t>
            </w:r>
            <w:r>
              <w:rPr/>
              <w:sym w:font="Wingdings" w:char="00A8"/>
            </w:r>
            <w:r>
              <w:t>《应急预案》、</w:t>
            </w:r>
            <w:r>
              <w:rPr/>
              <w:sym w:font="Wingdings" w:char="00A8"/>
            </w:r>
            <w:r>
              <w:t>《突发事件准备和响应控制程序》</w:t>
            </w:r>
          </w:p>
        </w:tc>
        <w:tc>
          <w:tcPr>
            <w:tcW w:w="1590" w:type="dxa"/>
            <w:gridSpan w:val="3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t>符合</w:t>
            </w:r>
          </w:p>
          <w:p>
            <w:r>
              <w:rPr/>
              <w:sym w:font="Wingdings" w:char="00A8"/>
            </w:r>
            <w: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80" w:hRule="atLeast"/>
        </w:trPr>
        <w:tc>
          <w:tcPr>
            <w:tcW w:w="2188" w:type="dxa"/>
            <w:gridSpan w:val="2"/>
            <w:vMerge w:val="continue"/>
            <w:shd w:val="clear" w:color="auto" w:fill="auto"/>
          </w:tcPr>
          <w:p/>
        </w:tc>
        <w:tc>
          <w:tcPr>
            <w:tcW w:w="775" w:type="dxa"/>
            <w:vMerge w:val="continue"/>
            <w:shd w:val="clear" w:color="auto" w:fill="auto"/>
          </w:tcPr>
          <w:p/>
        </w:tc>
        <w:tc>
          <w:tcPr>
            <w:tcW w:w="892" w:type="dxa"/>
            <w:gridSpan w:val="2"/>
            <w:shd w:val="clear" w:color="auto" w:fill="auto"/>
          </w:tcPr>
          <w:p>
            <w:r>
              <w:t>运行证据</w:t>
            </w:r>
          </w:p>
        </w:tc>
        <w:tc>
          <w:tcPr>
            <w:tcW w:w="9255" w:type="dxa"/>
            <w:gridSpan w:val="3"/>
            <w:shd w:val="clear" w:color="auto" w:fill="auto"/>
          </w:tcPr>
          <w:p>
            <w:r>
              <w:t>可能影响食品安全事故和/或紧急情况的示例包括：</w:t>
            </w:r>
          </w:p>
          <w:p>
            <w:r>
              <w:rPr/>
              <w:sym w:font="Wingdings" w:char="00FE"/>
            </w:r>
            <w:r>
              <w:t xml:space="preserve">自然灾害        </w:t>
            </w:r>
            <w:r>
              <w:rPr/>
              <w:sym w:font="Wingdings" w:char="00FE"/>
            </w:r>
            <w:r>
              <w:t xml:space="preserve">环境事故      </w:t>
            </w:r>
            <w:r>
              <w:rPr/>
              <w:sym w:font="Wingdings" w:char="00FE"/>
            </w:r>
            <w:r>
              <w:t xml:space="preserve">生物恐怖主义   </w:t>
            </w:r>
            <w:r>
              <w:rPr/>
              <w:sym w:font="Wingdings" w:char="00FE"/>
            </w:r>
            <w:r>
              <w:t xml:space="preserve">工作场所事故       </w:t>
            </w:r>
            <w:r>
              <w:rPr/>
              <w:sym w:font="Wingdings" w:char="00A8"/>
            </w:r>
            <w:r>
              <w:t>食品中毒</w:t>
            </w:r>
          </w:p>
          <w:p>
            <w:r>
              <w:rPr/>
              <w:sym w:font="Wingdings" w:char="00FE"/>
            </w:r>
            <w:r>
              <w:t xml:space="preserve">突发公共卫生事件   </w:t>
            </w:r>
            <w:r>
              <w:rPr/>
              <w:sym w:font="Wingdings" w:char="00A8"/>
            </w:r>
            <w:r>
              <w:t xml:space="preserve">水的中断    </w:t>
            </w:r>
            <w:r>
              <w:rPr/>
              <w:sym w:font="Wingdings" w:char="00FE"/>
            </w:r>
            <w:r>
              <w:t xml:space="preserve">电的中断     </w:t>
            </w:r>
            <w:r>
              <w:rPr/>
              <w:sym w:font="Wingdings" w:char="00FE"/>
            </w:r>
            <w:r>
              <w:t xml:space="preserve">制冷供应服务中断   </w:t>
            </w:r>
            <w:r>
              <w:rPr/>
              <w:sym w:font="Wingdings" w:char="00FE"/>
            </w:r>
            <w:r>
              <w:t>其他—食品供应链的突变</w:t>
            </w:r>
          </w:p>
          <w:p/>
          <w:p>
            <w:r>
              <w:t>组织应预先制定应对的方案和措施，必要时做出响应，以减少食品可能发生安全危害的影响。</w:t>
            </w:r>
          </w:p>
          <w:p>
            <w:r>
              <w:t>见</w:t>
            </w:r>
            <w:r>
              <w:rPr/>
              <w:sym w:font="Wingdings" w:char="00FE"/>
            </w:r>
            <w:r>
              <w:t>《应急准备和响应控制程序》、</w:t>
            </w:r>
            <w:r>
              <w:rPr/>
              <w:sym w:font="Wingdings" w:char="00A8"/>
            </w:r>
            <w:r>
              <w:t>《应急预案》、</w:t>
            </w:r>
            <w:r>
              <w:rPr/>
              <w:sym w:font="Wingdings" w:char="00A8"/>
            </w:r>
            <w:r>
              <w:t>《突发事件准备和响应控制程序》</w:t>
            </w:r>
          </w:p>
          <w:p/>
          <w:p>
            <w:r>
              <w:t>本部门是否发生食品安全方面的应急的情况：</w:t>
            </w:r>
          </w:p>
          <w:p>
            <w:pPr>
              <w:rPr>
                <w:u w:val="single"/>
              </w:rPr>
            </w:pPr>
            <w:r>
              <w:rPr/>
              <w:sym w:font="Wingdings" w:char="00FE"/>
            </w:r>
            <w:r>
              <w:t xml:space="preserve">未发生 </w:t>
            </w:r>
            <w:r>
              <w:rPr/>
              <w:sym w:font="Wingdings" w:char="00A8"/>
            </w:r>
            <w:r>
              <w:t>已发生，说明</w:t>
            </w:r>
            <w:r>
              <w:rPr>
                <w:u w:val="single"/>
              </w:rPr>
              <w:t xml:space="preserve">                      </w:t>
            </w:r>
          </w:p>
          <w:p/>
          <w:p>
            <w:r>
              <w:t>本部门是否发生食品安全方面的应急演练：</w:t>
            </w:r>
          </w:p>
          <w:p>
            <w:pPr>
              <w:rPr>
                <w:rFonts w:hint="default"/>
                <w:lang w:val="en-US"/>
              </w:rPr>
            </w:pPr>
            <w:r>
              <w:rPr/>
              <w:sym w:font="Wingdings" w:char="00FE"/>
            </w:r>
            <w:r>
              <w:t>参加公司组织的应急演练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  <w:p>
            <w:pPr>
              <w:rPr>
                <w:u w:val="single"/>
              </w:rPr>
            </w:pPr>
            <w:r>
              <w:rPr/>
              <w:sym w:font="Wingdings" w:char="00A8"/>
            </w:r>
            <w:r>
              <w:t>本部门组织的专项应急演练 ，说明</w:t>
            </w:r>
            <w:r>
              <w:rPr>
                <w:u w:val="single"/>
              </w:rPr>
              <w:t xml:space="preserve">                </w:t>
            </w:r>
          </w:p>
          <w:p>
            <w:pPr>
              <w:rPr>
                <w:u w:val="single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r>
                    <w:t>性质</w:t>
                  </w:r>
                </w:p>
              </w:tc>
              <w:tc>
                <w:tcPr>
                  <w:tcW w:w="2913" w:type="dxa"/>
                </w:tcPr>
                <w:p>
                  <w: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消防应急演练2022.04.27</w:t>
                  </w:r>
                </w:p>
              </w:tc>
              <w:tc>
                <w:tcPr>
                  <w:tcW w:w="2084" w:type="dxa"/>
                </w:tcPr>
                <w:p>
                  <w:r>
                    <w:rPr/>
                    <w:sym w:font="Wingdings" w:char="00A8"/>
                  </w:r>
                  <w:r>
                    <w:t>实际发生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/>
                    <w:sym w:font="Wingdings" w:char="00FE"/>
                  </w:r>
                  <w: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消防应急预案</w:t>
                  </w:r>
                </w:p>
              </w:tc>
              <w:tc>
                <w:tcPr>
                  <w:tcW w:w="2110" w:type="dxa"/>
                </w:tcPr>
                <w:p>
                  <w:r>
                    <w:rPr/>
                    <w:sym w:font="Wingdings" w:char="00FE"/>
                  </w:r>
                  <w:r>
                    <w:t xml:space="preserve">有效  </w:t>
                  </w:r>
                  <w:r>
                    <w:rPr/>
                    <w:sym w:font="Wingdings" w:char="00A8"/>
                  </w:r>
                  <w:r>
                    <w:t>无效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</w:tcPr>
                <w:p>
                  <w:r>
                    <w:rPr/>
                    <w:sym w:font="Wingdings" w:char="00A8"/>
                  </w:r>
                  <w:r>
                    <w:t>实际发生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/>
                    <w:sym w:font="Wingdings" w:char="00A8"/>
                  </w:r>
                  <w:r>
                    <w:t>演练</w:t>
                  </w:r>
                </w:p>
              </w:tc>
              <w:tc>
                <w:tcPr>
                  <w:tcW w:w="2913" w:type="dxa"/>
                </w:tcPr>
                <w:p/>
              </w:tc>
              <w:tc>
                <w:tcPr>
                  <w:tcW w:w="2110" w:type="dxa"/>
                </w:tcPr>
                <w:p>
                  <w:r>
                    <w:rPr/>
                    <w:sym w:font="Wingdings" w:char="00A8"/>
                  </w:r>
                  <w:r>
                    <w:t xml:space="preserve">有效  </w:t>
                  </w:r>
                  <w:r>
                    <w:rPr/>
                    <w:sym w:font="Wingdings" w:char="00A8"/>
                  </w:r>
                  <w:r>
                    <w:t>无效</w:t>
                  </w:r>
                </w:p>
              </w:tc>
            </w:tr>
          </w:tbl>
          <w:p/>
          <w:p>
            <w:r>
              <w:t>对预案定期评审的日期：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2022.04.27</w:t>
            </w:r>
            <w:r>
              <w:rPr>
                <w:u w:val="single"/>
              </w:rPr>
              <w:t xml:space="preserve">      </w:t>
            </w:r>
          </w:p>
          <w:p>
            <w:r>
              <w:t>修订响应措施的内容：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无</w:t>
            </w:r>
            <w:r>
              <w:rPr>
                <w:u w:val="single"/>
              </w:rPr>
              <w:t xml:space="preserve">                          </w:t>
            </w:r>
            <w:r>
              <w:t>。</w:t>
            </w:r>
          </w:p>
          <w:p/>
        </w:tc>
        <w:tc>
          <w:tcPr>
            <w:tcW w:w="1590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6" w:hRule="atLeast"/>
        </w:trPr>
        <w:tc>
          <w:tcPr>
            <w:tcW w:w="2170" w:type="dxa"/>
            <w:vMerge w:val="restart"/>
          </w:tcPr>
          <w:p>
            <w:r>
              <w:rPr>
                <w:rFonts w:hint="eastAsia"/>
              </w:rPr>
              <w:t>撤回/召回</w:t>
            </w:r>
          </w:p>
          <w:p/>
        </w:tc>
        <w:tc>
          <w:tcPr>
            <w:tcW w:w="793" w:type="dxa"/>
            <w:gridSpan w:val="2"/>
            <w:vMerge w:val="restart"/>
          </w:tcPr>
          <w:p>
            <w:pPr>
              <w:pStyle w:val="11"/>
            </w:pPr>
            <w:r>
              <w:rPr>
                <w:rFonts w:hint="eastAsia"/>
              </w:rPr>
              <w:t>F8.9.5</w:t>
            </w:r>
          </w:p>
          <w:p/>
        </w:tc>
        <w:tc>
          <w:tcPr>
            <w:tcW w:w="899" w:type="dxa"/>
            <w:gridSpan w:val="3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8" w:type="dxa"/>
            <w:gridSpan w:val="4"/>
          </w:tcPr>
          <w:p>
            <w:pPr>
              <w:widowControl/>
              <w:jc w:val="lef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《撤回控制程序》</w:t>
            </w:r>
          </w:p>
        </w:tc>
        <w:tc>
          <w:tcPr>
            <w:tcW w:w="1570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40" w:hRule="atLeast"/>
        </w:trPr>
        <w:tc>
          <w:tcPr>
            <w:tcW w:w="2170" w:type="dxa"/>
            <w:vMerge w:val="continue"/>
          </w:tcPr>
          <w:p/>
        </w:tc>
        <w:tc>
          <w:tcPr>
            <w:tcW w:w="793" w:type="dxa"/>
            <w:gridSpan w:val="2"/>
            <w:vMerge w:val="continue"/>
          </w:tcPr>
          <w:p/>
        </w:tc>
        <w:tc>
          <w:tcPr>
            <w:tcW w:w="899" w:type="dxa"/>
            <w:gridSpan w:val="3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8" w:type="dxa"/>
            <w:gridSpan w:val="4"/>
          </w:tcPr>
          <w:p>
            <w:r>
              <w:t>有权决定撤回/召回人员：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总经理 </w:t>
            </w:r>
            <w:r>
              <w:rPr>
                <w:u w:val="single"/>
              </w:rPr>
              <w:t xml:space="preserve">  </w:t>
            </w:r>
            <w:r>
              <w:t xml:space="preserve">；  </w:t>
            </w:r>
          </w:p>
          <w:p>
            <w:r>
              <w:t>确保及时撤回/召回被确定为潜在不安全的大量最终产品。</w:t>
            </w:r>
          </w:p>
          <w:p>
            <w:r>
              <w:t>组织的撤回/召回流程，包括：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/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食品安全小组组长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供销部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处置库存中受影响的批次/批号产品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r>
                    <w:t>食品安全小组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/>
              </w:tc>
            </w:tr>
          </w:tbl>
          <w:p/>
          <w:p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/>
          <w:p>
            <w:r>
              <w:rPr>
                <w:rFonts w:hint="eastAsia"/>
              </w:rPr>
              <w:t>本部门是否发生产品的撤回或召回方面的处置：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未发生（参加公司组织的产品召回演练）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5"/>
              <w:gridCol w:w="1290"/>
              <w:gridCol w:w="2158"/>
              <w:gridCol w:w="1702"/>
              <w:gridCol w:w="1285"/>
              <w:gridCol w:w="1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7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撤回日期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215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撤回原因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撤回范围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撤回结果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r>
                    <w:t>20211008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15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发现发给客户瑞普2109065批次的碳酸钙（重质碳酸钙）铅含量超标（假设）（模拟）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已发货</w:t>
                  </w:r>
                  <w:r>
                    <w:rPr>
                      <w:rFonts w:hint="eastAsia"/>
                      <w:lang w:val="en-US" w:eastAsia="zh-CN"/>
                    </w:rPr>
                    <w:t>32</w:t>
                  </w:r>
                  <w:r>
                    <w:rPr>
                      <w:rFonts w:hint="eastAsia"/>
                    </w:rPr>
                    <w:t>t，全部召回（</w:t>
                  </w:r>
                  <w:r>
                    <w:rPr>
                      <w:rFonts w:hint="eastAsia"/>
                      <w:lang w:val="en-US" w:eastAsia="zh-CN"/>
                    </w:rPr>
                    <w:t>模拟，</w:t>
                  </w:r>
                  <w:r>
                    <w:rPr>
                      <w:rFonts w:hint="eastAsia"/>
                    </w:rPr>
                    <w:t>实际未召回）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已全部处理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/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158" w:type="dxa"/>
                  <w:shd w:val="clear" w:color="auto" w:fill="auto"/>
                </w:tcPr>
                <w:p/>
              </w:tc>
              <w:tc>
                <w:tcPr>
                  <w:tcW w:w="1702" w:type="dxa"/>
                  <w:shd w:val="clear" w:color="auto" w:fill="auto"/>
                </w:tcPr>
                <w:p/>
              </w:tc>
              <w:tc>
                <w:tcPr>
                  <w:tcW w:w="1285" w:type="dxa"/>
                  <w:shd w:val="clear" w:color="auto" w:fill="auto"/>
                </w:tcPr>
                <w:p/>
              </w:tc>
              <w:tc>
                <w:tcPr>
                  <w:tcW w:w="1433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</w:tbl>
          <w:p/>
          <w:p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/>
          <w:p>
            <w:r>
              <w:rPr>
                <w:rFonts w:hint="eastAsia"/>
              </w:rPr>
              <w:t>见《</w:t>
            </w:r>
            <w:r>
              <w:rPr>
                <w:rFonts w:hint="eastAsia"/>
                <w:u w:val="single"/>
              </w:rPr>
              <w:t>产品召回演练记录</w:t>
            </w:r>
            <w:r>
              <w:rPr>
                <w:rFonts w:hint="eastAsia"/>
              </w:rPr>
              <w:t>》， 并向最高管理者报告， 作为管理评审的输入。</w:t>
            </w:r>
          </w:p>
        </w:tc>
        <w:tc>
          <w:tcPr>
            <w:tcW w:w="157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671" w:hRule="atLeast"/>
        </w:trPr>
        <w:tc>
          <w:tcPr>
            <w:tcW w:w="2170" w:type="dxa"/>
            <w:vMerge w:val="restart"/>
            <w:shd w:val="clear" w:color="auto" w:fill="auto"/>
          </w:tcPr>
          <w:p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危害控制计划 (HACCP/OPRP 计划)</w:t>
            </w:r>
          </w:p>
        </w:tc>
        <w:tc>
          <w:tcPr>
            <w:tcW w:w="793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F8.5.4</w:t>
            </w:r>
          </w:p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77" w:type="dxa"/>
            <w:gridSpan w:val="6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手册8.5条款、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《危害控制计划》、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《固态调味料生产操作规程》</w:t>
            </w:r>
          </w:p>
        </w:tc>
        <w:tc>
          <w:tcPr>
            <w:tcW w:w="157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7" w:hRule="atLeast"/>
        </w:trPr>
        <w:tc>
          <w:tcPr>
            <w:tcW w:w="2170" w:type="dxa"/>
            <w:vMerge w:val="continue"/>
            <w:shd w:val="clear" w:color="auto" w:fill="auto"/>
          </w:tcPr>
          <w:p/>
        </w:tc>
        <w:tc>
          <w:tcPr>
            <w:tcW w:w="793" w:type="dxa"/>
            <w:gridSpan w:val="2"/>
            <w:vMerge w:val="continue"/>
            <w:shd w:val="clear" w:color="auto" w:fill="auto"/>
          </w:tcPr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77" w:type="dxa"/>
            <w:gridSpan w:val="6"/>
            <w:shd w:val="clear" w:color="auto" w:fill="auto"/>
          </w:tcPr>
          <w:p>
            <w:pPr>
              <w:spacing w:before="240" w:after="120"/>
            </w:pPr>
            <w:r>
              <w:rPr>
                <w:rFonts w:hint="eastAsia" w:ascii="宋体" w:hAnsi="宋体" w:cs="宋体"/>
              </w:rPr>
              <w:t>OPRP计划/</w:t>
            </w:r>
            <w:r>
              <w:rPr>
                <w:rFonts w:hint="eastAsia" w:ascii="宋体" w:hAnsi="宋体" w:cs="宋体"/>
                <w:lang w:val="en-GB"/>
              </w:rPr>
              <w:t>HACCP计划</w:t>
            </w:r>
            <w:r>
              <w:rPr>
                <w:rFonts w:hint="eastAsia" w:ascii="宋体" w:hAnsi="宋体" w:cs="宋体"/>
              </w:rPr>
              <w:t>的策划</w:t>
            </w:r>
            <w:r>
              <w:rPr>
                <w:rFonts w:hint="eastAsia" w:ascii="宋体" w:hAnsi="宋体" w:cs="宋体"/>
                <w:lang w:val="en-GB"/>
              </w:rPr>
              <w:t>，</w:t>
            </w:r>
            <w:r>
              <w:rPr>
                <w:rFonts w:hint="eastAsia" w:ascii="宋体" w:hAnsi="宋体" w:cs="宋体"/>
              </w:rPr>
              <w:t>见食品安全小组审核记录F</w:t>
            </w:r>
            <w:r>
              <w:rPr>
                <w:rFonts w:ascii="宋体" w:hAnsi="宋体" w:cs="宋体"/>
              </w:rPr>
              <w:t>8.5.4</w:t>
            </w:r>
          </w:p>
        </w:tc>
        <w:tc>
          <w:tcPr>
            <w:tcW w:w="1570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786" w:hRule="atLeast"/>
        </w:trPr>
        <w:tc>
          <w:tcPr>
            <w:tcW w:w="2170" w:type="dxa"/>
            <w:vMerge w:val="continue"/>
            <w:shd w:val="clear" w:color="auto" w:fill="auto"/>
          </w:tcPr>
          <w:p/>
        </w:tc>
        <w:tc>
          <w:tcPr>
            <w:tcW w:w="793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8.5.4.5实施危害控制计划</w:t>
            </w:r>
          </w:p>
          <w:p/>
        </w:tc>
        <w:tc>
          <w:tcPr>
            <w:tcW w:w="890" w:type="dxa"/>
            <w:shd w:val="clear" w:color="auto" w:fill="auto"/>
          </w:tcPr>
          <w:p>
            <w:r>
              <w:rPr>
                <w:rFonts w:hint="eastAsia"/>
              </w:rPr>
              <w:t>现场查看</w:t>
            </w:r>
          </w:p>
        </w:tc>
        <w:tc>
          <w:tcPr>
            <w:tcW w:w="9277" w:type="dxa"/>
            <w:gridSpan w:val="6"/>
            <w:shd w:val="clear" w:color="auto" w:fill="auto"/>
          </w:tcPr>
          <w:p>
            <w:r>
              <w:rPr>
                <w:rFonts w:hint="eastAsia"/>
              </w:rPr>
              <w:t>OPRP/CCP的实施情况：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重质碳酸钙OPRP/CCP的实施情况：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0"/>
              <w:gridCol w:w="1267"/>
              <w:gridCol w:w="1410"/>
              <w:gridCol w:w="2889"/>
              <w:gridCol w:w="1426"/>
              <w:gridCol w:w="11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67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地点</w:t>
                  </w:r>
                </w:p>
              </w:tc>
              <w:tc>
                <w:tcPr>
                  <w:tcW w:w="1410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行动准则/CL</w:t>
                  </w:r>
                </w:p>
              </w:tc>
              <w:tc>
                <w:tcPr>
                  <w:tcW w:w="288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记录情况</w:t>
                  </w:r>
                </w:p>
              </w:tc>
              <w:tc>
                <w:tcPr>
                  <w:tcW w:w="1426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现场情况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890" w:type="dxa"/>
                </w:tcPr>
                <w:p>
                  <w:pPr>
                    <w:rPr>
                      <w:rFonts w:hint="eastAsia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</w:rPr>
                    <w:t>OPRP</w:t>
                  </w:r>
                </w:p>
              </w:tc>
              <w:tc>
                <w:tcPr>
                  <w:tcW w:w="1267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方解石、塑料包装袋的采购验收</w:t>
                  </w:r>
                </w:p>
              </w:tc>
              <w:tc>
                <w:tcPr>
                  <w:tcW w:w="1410" w:type="dxa"/>
                </w:tcPr>
                <w:p>
                  <w:pPr>
                    <w:spacing w:line="240" w:lineRule="exac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见</w:t>
                  </w:r>
                  <w:r>
                    <w:rPr>
                      <w:rFonts w:hint="eastAsia"/>
                      <w:szCs w:val="21"/>
                    </w:rPr>
                    <w:t>品质技术部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、供销部审核记录</w:t>
                  </w:r>
                </w:p>
              </w:tc>
              <w:tc>
                <w:tcPr>
                  <w:tcW w:w="288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——</w:t>
                  </w:r>
                </w:p>
              </w:tc>
              <w:tc>
                <w:tcPr>
                  <w:tcW w:w="142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6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CCP2</w:t>
                  </w:r>
                </w:p>
              </w:tc>
              <w:tc>
                <w:tcPr>
                  <w:tcW w:w="1267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成品检验入库</w:t>
                  </w:r>
                </w:p>
              </w:tc>
              <w:tc>
                <w:tcPr>
                  <w:tcW w:w="1410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见</w:t>
                  </w:r>
                  <w:r>
                    <w:rPr>
                      <w:rFonts w:hint="eastAsia"/>
                      <w:szCs w:val="21"/>
                    </w:rPr>
                    <w:t>品质技术部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审核记录</w:t>
                  </w:r>
                </w:p>
              </w:tc>
              <w:tc>
                <w:tcPr>
                  <w:tcW w:w="2889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——</w:t>
                  </w:r>
                </w:p>
              </w:tc>
              <w:tc>
                <w:tcPr>
                  <w:tcW w:w="1426" w:type="dxa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161" w:type="dxa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highlight w:val="none"/>
                    </w:rPr>
                    <w:t>CCP1</w:t>
                  </w:r>
                </w:p>
              </w:tc>
              <w:tc>
                <w:tcPr>
                  <w:tcW w:w="12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highlight w:val="none"/>
                    </w:rPr>
                    <w:t>分级（生产车间）</w:t>
                  </w:r>
                </w:p>
              </w:tc>
              <w:tc>
                <w:tcPr>
                  <w:tcW w:w="1410" w:type="dxa"/>
                  <w:vAlign w:val="top"/>
                </w:tcPr>
                <w:p>
                  <w:pP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在进料、出料口加装强磁装置，要有所有强磁磁力不小于10000高斯</w:t>
                  </w:r>
                </w:p>
              </w:tc>
              <w:tc>
                <w:tcPr>
                  <w:tcW w:w="2889" w:type="dxa"/>
                </w:tcPr>
                <w:p>
                  <w:pPr>
                    <w:rPr>
                      <w:rFonts w:hint="default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《强磁吸附物清理记录》、《强磁监测记录》，提供有《清洁消毒记录》，随机抽取2022-06，清理人：莫**，每班次结束后进行；【实施记录名称与危害控制计划中描述的记录名称不一致，已与企业沟通】，同时抽查《强磁装置磁力检测记录》，2022-03-01、2022-09-01，未见异常，检查人：莫**。</w:t>
                  </w:r>
                </w:p>
              </w:tc>
              <w:tc>
                <w:tcPr>
                  <w:tcW w:w="1426" w:type="dxa"/>
                </w:tcPr>
                <w:p>
                  <w:pPr>
                    <w:rPr>
                      <w:rFonts w:hint="default" w:eastAsia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现场正在生产加工过程中，未进行清理，相关负责人表示在结束时进行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hint="eastAsia" w:eastAsia="宋体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合格</w:t>
                  </w:r>
                </w:p>
              </w:tc>
            </w:tr>
          </w:tbl>
          <w:p/>
        </w:tc>
        <w:tc>
          <w:tcPr>
            <w:tcW w:w="1570" w:type="dxa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 xml:space="preserve">符合 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不符合</w:t>
            </w:r>
          </w:p>
          <w:p>
            <w:pPr>
              <w:pStyle w:val="11"/>
            </w:pPr>
          </w:p>
          <w:p>
            <w:pPr>
              <w:pStyle w:val="1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6" w:hRule="atLeast"/>
        </w:trPr>
        <w:tc>
          <w:tcPr>
            <w:tcW w:w="2188" w:type="dxa"/>
            <w:gridSpan w:val="2"/>
            <w:vMerge w:val="restart"/>
          </w:tcPr>
          <w:p>
            <w:r>
              <w:rPr>
                <w:rFonts w:hint="eastAsia"/>
              </w:rPr>
              <w:t>应急准备和响应</w:t>
            </w:r>
          </w:p>
        </w:tc>
        <w:tc>
          <w:tcPr>
            <w:tcW w:w="775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F8.9.5</w:t>
            </w:r>
          </w:p>
        </w:tc>
        <w:tc>
          <w:tcPr>
            <w:tcW w:w="892" w:type="dxa"/>
            <w:gridSpan w:val="2"/>
          </w:tcPr>
          <w:p>
            <w:r>
              <w:t>文件名称</w:t>
            </w:r>
          </w:p>
        </w:tc>
        <w:tc>
          <w:tcPr>
            <w:tcW w:w="9275" w:type="dxa"/>
            <w:gridSpan w:val="5"/>
          </w:tcPr>
          <w:p>
            <w:pPr>
              <w:spacing w:line="480" w:lineRule="exact"/>
            </w:pPr>
            <w: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《产品标识</w:t>
            </w:r>
            <w:r>
              <w:rPr>
                <w:rFonts w:hint="eastAsia"/>
                <w:lang w:val="en-US" w:eastAsia="zh-CN"/>
              </w:rPr>
              <w:t>和可</w:t>
            </w:r>
            <w:r>
              <w:rPr>
                <w:rFonts w:hint="eastAsia"/>
              </w:rPr>
              <w:t>追溯程序》、</w:t>
            </w:r>
            <w:r>
              <w:rPr/>
              <w:sym w:font="Wingdings" w:char="00FE"/>
            </w:r>
            <w:r>
              <w:t>《应急准备和响应程序》</w:t>
            </w:r>
          </w:p>
        </w:tc>
        <w:tc>
          <w:tcPr>
            <w:tcW w:w="1570" w:type="dxa"/>
            <w:vMerge w:val="restart"/>
          </w:tcPr>
          <w:p>
            <w:r>
              <w:rPr/>
              <w:sym w:font="Wingdings" w:char="00FE"/>
            </w:r>
            <w:r>
              <w:t>符合</w:t>
            </w:r>
          </w:p>
          <w:p>
            <w:r>
              <w:rPr/>
              <w:sym w:font="Wingdings" w:char="00A8"/>
            </w:r>
            <w: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810" w:hRule="atLeast"/>
        </w:trPr>
        <w:tc>
          <w:tcPr>
            <w:tcW w:w="2188" w:type="dxa"/>
            <w:gridSpan w:val="2"/>
            <w:vMerge w:val="continue"/>
          </w:tcPr>
          <w:p/>
        </w:tc>
        <w:tc>
          <w:tcPr>
            <w:tcW w:w="775" w:type="dxa"/>
            <w:vMerge w:val="continue"/>
          </w:tcPr>
          <w:p/>
        </w:tc>
        <w:tc>
          <w:tcPr>
            <w:tcW w:w="892" w:type="dxa"/>
            <w:gridSpan w:val="2"/>
          </w:tcPr>
          <w:p>
            <w:r>
              <w:t>运行证据</w:t>
            </w:r>
          </w:p>
        </w:tc>
        <w:tc>
          <w:tcPr>
            <w:tcW w:w="9275" w:type="dxa"/>
            <w:gridSpan w:val="5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有权决定撤回/召回人员：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总经理或食品安全小组组长</w:t>
            </w:r>
            <w:r>
              <w:rPr>
                <w:highlight w:val="none"/>
                <w:u w:val="single"/>
              </w:rPr>
              <w:t xml:space="preserve">  </w:t>
            </w:r>
            <w:r>
              <w:rPr>
                <w:highlight w:val="none"/>
              </w:rPr>
              <w:t xml:space="preserve">；  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确保及时撤回/召回被确定为潜在不安全的大量最终产品。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组织的撤回/召回流程，包括：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highlight w:val="none"/>
                    </w:rPr>
                    <w:t>食品安全小组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组长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供销部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处置库存中受影响的批次/批号产品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生产部、品质技术部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食品安全小组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——上述撤回召回职责及分工审核周期内未发生变化。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本部门是否发生产品的</w:t>
            </w:r>
            <w:r>
              <w:rPr>
                <w:highlight w:val="none"/>
              </w:rPr>
              <w:sym w:font="Wingdings" w:char="00A8"/>
            </w:r>
            <w:r>
              <w:rPr>
                <w:highlight w:val="none"/>
              </w:rPr>
              <w:t>撤回或</w:t>
            </w:r>
            <w:r>
              <w:rPr>
                <w:highlight w:val="none"/>
              </w:rPr>
              <w:sym w:font="Wingdings" w:char="00A8"/>
            </w:r>
            <w:r>
              <w:rPr>
                <w:highlight w:val="none"/>
              </w:rPr>
              <w:t>召回的情况：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highlight w:val="none"/>
              </w:rPr>
              <w:sym w:font="Wingdings" w:char="00FE"/>
            </w:r>
            <w:r>
              <w:rPr>
                <w:highlight w:val="none"/>
              </w:rPr>
              <w:t xml:space="preserve">未发生 </w:t>
            </w:r>
            <w:r>
              <w:rPr>
                <w:highlight w:val="none"/>
              </w:rPr>
              <w:sym w:font="Wingdings" w:char="00A8"/>
            </w:r>
            <w:r>
              <w:rPr>
                <w:highlight w:val="none"/>
              </w:rPr>
              <w:t>已发生，说明</w:t>
            </w:r>
            <w:r>
              <w:rPr>
                <w:highlight w:val="none"/>
                <w:u w:val="single"/>
              </w:rPr>
              <w:t xml:space="preserve">                     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本部门是否发生产品的撤回或召回方面的处置：</w:t>
            </w:r>
            <w:r>
              <w:rPr>
                <w:rFonts w:hint="eastAsia"/>
                <w:highlight w:val="none"/>
                <w:lang w:eastAsia="zh-CN"/>
              </w:rPr>
              <w:t>——</w:t>
            </w:r>
            <w:r>
              <w:rPr>
                <w:rFonts w:hint="eastAsia"/>
                <w:highlight w:val="none"/>
                <w:lang w:val="en-US" w:eastAsia="zh-CN"/>
              </w:rPr>
              <w:t>未发生，参加公司组织的召回/撤回追溯演练：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5"/>
              <w:gridCol w:w="1290"/>
              <w:gridCol w:w="2008"/>
              <w:gridCol w:w="1395"/>
              <w:gridCol w:w="1425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7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撤回日期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撤回原因</w:t>
                  </w:r>
                </w:p>
              </w:tc>
              <w:tc>
                <w:tcPr>
                  <w:tcW w:w="139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撤回范围</w:t>
                  </w:r>
                </w:p>
              </w:tc>
              <w:tc>
                <w:tcPr>
                  <w:tcW w:w="1425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撤回结果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20220725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>
                  <w:r>
                    <w:rPr>
                      <w:rFonts w:hint="eastAsia"/>
                      <w:highlight w:val="none"/>
                      <w:lang w:val="en-US" w:eastAsia="zh-CN"/>
                    </w:rPr>
                    <w:t>销售员反应给山东某客户发货的一车产品（重质碳酸钙），该批次白度存在问题（模拟）</w:t>
                  </w:r>
                </w:p>
              </w:tc>
              <w:tc>
                <w:tcPr>
                  <w:tcW w:w="1395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已发货</w:t>
                  </w:r>
                  <w:r>
                    <w:rPr>
                      <w:rFonts w:hint="eastAsia"/>
                      <w:lang w:val="en-US" w:eastAsia="zh-CN"/>
                    </w:rPr>
                    <w:t>32吨全部召回</w:t>
                  </w:r>
                </w:p>
              </w:tc>
              <w:tc>
                <w:tcPr>
                  <w:tcW w:w="1425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已全部</w:t>
                  </w:r>
                  <w:r>
                    <w:rPr>
                      <w:rFonts w:hint="eastAsia"/>
                      <w:lang w:val="en-US" w:eastAsia="zh-CN"/>
                    </w:rPr>
                    <w:t>召回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流程</w:t>
                  </w:r>
                  <w:r>
                    <w:rPr>
                      <w:rFonts w:hint="eastAsia"/>
                      <w:lang w:val="en-US" w:eastAsia="zh-CN"/>
                    </w:rPr>
                    <w:t>基本</w:t>
                  </w:r>
                  <w:r>
                    <w:rPr>
                      <w:rFonts w:hint="eastAsia"/>
                    </w:rPr>
                    <w:t xml:space="preserve">有效 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召回未明确产品批次信息，已与企业沟通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/>
              </w:tc>
              <w:tc>
                <w:tcPr>
                  <w:tcW w:w="129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实际撤回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模拟撤回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/>
              </w:tc>
              <w:tc>
                <w:tcPr>
                  <w:tcW w:w="1395" w:type="dxa"/>
                  <w:shd w:val="clear" w:color="auto" w:fill="auto"/>
                </w:tcPr>
                <w:p/>
              </w:tc>
              <w:tc>
                <w:tcPr>
                  <w:tcW w:w="1425" w:type="dxa"/>
                  <w:shd w:val="clear" w:color="auto" w:fill="auto"/>
                </w:tcPr>
                <w:p/>
              </w:tc>
              <w:tc>
                <w:tcPr>
                  <w:tcW w:w="1750" w:type="dxa"/>
                  <w:shd w:val="clear" w:color="auto" w:fill="auto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流程有效 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存在不足</w:t>
                  </w:r>
                </w:p>
              </w:tc>
            </w:tr>
          </w:tbl>
          <w:p>
            <w:pPr>
              <w:pStyle w:val="4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highlight w:val="none"/>
                <w:lang w:val="en-US" w:eastAsia="zh-CN"/>
              </w:rPr>
            </w:pPr>
          </w:p>
          <w:p>
            <w:r>
              <w:t>结论：</w:t>
            </w:r>
            <w:r>
              <w:rPr/>
              <w:sym w:font="Wingdings" w:char="00FE"/>
            </w:r>
            <w: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u w:val="single"/>
              </w:rPr>
            </w:pPr>
            <w:r>
              <w:rPr/>
              <w:sym w:font="Wingdings" w:char="00A8"/>
            </w:r>
            <w:r>
              <w:t>不能够确保完整、 及时地撤回已被识别为潜在不安全的批次/批号产品，说明：</w:t>
            </w:r>
            <w:r>
              <w:rPr>
                <w:u w:val="single"/>
              </w:rPr>
              <w:t xml:space="preserve">         </w:t>
            </w:r>
          </w:p>
          <w:p/>
          <w:p>
            <w:r>
              <w:t>见</w:t>
            </w:r>
            <w:r>
              <w:rPr>
                <w:u w:val="single"/>
              </w:rPr>
              <w:t>《产品召回记录》</w:t>
            </w:r>
            <w:r>
              <w:t>， 并向最高管理者报告， 作为管理评审的输入。</w:t>
            </w:r>
          </w:p>
          <w:p/>
        </w:tc>
        <w:tc>
          <w:tcPr>
            <w:tcW w:w="1570" w:type="dxa"/>
            <w:vMerge w:val="continue"/>
          </w:tcPr>
          <w:p/>
        </w:tc>
      </w:tr>
    </w:tbl>
    <w:p>
      <w:pPr>
        <w:pStyle w:val="6"/>
      </w:pPr>
    </w:p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35" w:firstLineChars="550"/>
      <w:jc w:val="left"/>
      <w:rPr>
        <w:rStyle w:val="15"/>
        <w:rFonts w:hint="default"/>
      </w:rPr>
    </w:pPr>
    <w:r>
      <w:rPr>
        <w:rFonts w:ascii="宋体" w:hAnsi="宋体" w:cs="宋体"/>
        <w:sz w:val="17"/>
        <w:szCs w:val="17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-10795</wp:posOffset>
          </wp:positionV>
          <wp:extent cx="481965" cy="485140"/>
          <wp:effectExtent l="0" t="0" r="3810" b="63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wrap="square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hBqrl1gAAAAoB&#10;AAAPAAAAAAAAAAEAIAAAACIAAABkcnMvZG93bnJldi54bWxQSwECFAAUAAAACACHTuJAS3GRWuQB&#10;AAC1AwAADgAAAAAAAAABACAAAAAlAQAAZHJzL2Uyb0RvYy54bWxQSwUGAAAAAAYABgBZAQAAew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5FA1A"/>
    <w:multiLevelType w:val="singleLevel"/>
    <w:tmpl w:val="BD15FA1A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9973B4"/>
    <w:rsid w:val="0000475F"/>
    <w:rsid w:val="0001443C"/>
    <w:rsid w:val="000237F6"/>
    <w:rsid w:val="0003373A"/>
    <w:rsid w:val="000400E2"/>
    <w:rsid w:val="000408BB"/>
    <w:rsid w:val="000509E7"/>
    <w:rsid w:val="00056EC5"/>
    <w:rsid w:val="00061009"/>
    <w:rsid w:val="00062E46"/>
    <w:rsid w:val="00067C91"/>
    <w:rsid w:val="000A0A06"/>
    <w:rsid w:val="000C63AA"/>
    <w:rsid w:val="000C705F"/>
    <w:rsid w:val="000E6B21"/>
    <w:rsid w:val="001006A0"/>
    <w:rsid w:val="001044CD"/>
    <w:rsid w:val="0010642B"/>
    <w:rsid w:val="00107280"/>
    <w:rsid w:val="001126B5"/>
    <w:rsid w:val="00115DB0"/>
    <w:rsid w:val="001248BC"/>
    <w:rsid w:val="00125038"/>
    <w:rsid w:val="00164493"/>
    <w:rsid w:val="00184FC0"/>
    <w:rsid w:val="001A2D7F"/>
    <w:rsid w:val="001C21AB"/>
    <w:rsid w:val="001E707B"/>
    <w:rsid w:val="001F0891"/>
    <w:rsid w:val="00227D54"/>
    <w:rsid w:val="002501B0"/>
    <w:rsid w:val="0028527E"/>
    <w:rsid w:val="002939AD"/>
    <w:rsid w:val="002C7D78"/>
    <w:rsid w:val="00314AF6"/>
    <w:rsid w:val="00337922"/>
    <w:rsid w:val="00340867"/>
    <w:rsid w:val="003675E1"/>
    <w:rsid w:val="00380837"/>
    <w:rsid w:val="003A198A"/>
    <w:rsid w:val="003C3E51"/>
    <w:rsid w:val="003E1CA6"/>
    <w:rsid w:val="003F308F"/>
    <w:rsid w:val="003F55D3"/>
    <w:rsid w:val="00410914"/>
    <w:rsid w:val="004177C7"/>
    <w:rsid w:val="00417E5D"/>
    <w:rsid w:val="004366EB"/>
    <w:rsid w:val="00442C70"/>
    <w:rsid w:val="004724DC"/>
    <w:rsid w:val="0048201E"/>
    <w:rsid w:val="00482739"/>
    <w:rsid w:val="004B0021"/>
    <w:rsid w:val="004E4B74"/>
    <w:rsid w:val="004F01AD"/>
    <w:rsid w:val="00536930"/>
    <w:rsid w:val="0054737D"/>
    <w:rsid w:val="00553344"/>
    <w:rsid w:val="00560449"/>
    <w:rsid w:val="00561D55"/>
    <w:rsid w:val="00564E53"/>
    <w:rsid w:val="00573C4B"/>
    <w:rsid w:val="005A1049"/>
    <w:rsid w:val="005A2F49"/>
    <w:rsid w:val="005A34ED"/>
    <w:rsid w:val="005A740D"/>
    <w:rsid w:val="005B4176"/>
    <w:rsid w:val="005D5659"/>
    <w:rsid w:val="00600C20"/>
    <w:rsid w:val="00604303"/>
    <w:rsid w:val="00616335"/>
    <w:rsid w:val="00644FE2"/>
    <w:rsid w:val="00654C1E"/>
    <w:rsid w:val="00654D21"/>
    <w:rsid w:val="0066419A"/>
    <w:rsid w:val="006658D4"/>
    <w:rsid w:val="0067640C"/>
    <w:rsid w:val="00685619"/>
    <w:rsid w:val="006A0DC8"/>
    <w:rsid w:val="006E409D"/>
    <w:rsid w:val="006E678B"/>
    <w:rsid w:val="006E7B1D"/>
    <w:rsid w:val="006F7494"/>
    <w:rsid w:val="00703C05"/>
    <w:rsid w:val="00703CAB"/>
    <w:rsid w:val="00716307"/>
    <w:rsid w:val="007623F4"/>
    <w:rsid w:val="007757F3"/>
    <w:rsid w:val="0077781F"/>
    <w:rsid w:val="00782468"/>
    <w:rsid w:val="00797082"/>
    <w:rsid w:val="007A7A3B"/>
    <w:rsid w:val="007C1B48"/>
    <w:rsid w:val="007C4026"/>
    <w:rsid w:val="007D754F"/>
    <w:rsid w:val="007E3B15"/>
    <w:rsid w:val="007E6AEB"/>
    <w:rsid w:val="0080278D"/>
    <w:rsid w:val="0080417E"/>
    <w:rsid w:val="00833718"/>
    <w:rsid w:val="00851D2E"/>
    <w:rsid w:val="00885D9A"/>
    <w:rsid w:val="008973EE"/>
    <w:rsid w:val="008C2E51"/>
    <w:rsid w:val="008D53B2"/>
    <w:rsid w:val="0090314D"/>
    <w:rsid w:val="00914199"/>
    <w:rsid w:val="009305FF"/>
    <w:rsid w:val="00934883"/>
    <w:rsid w:val="00942C7F"/>
    <w:rsid w:val="00947553"/>
    <w:rsid w:val="00950526"/>
    <w:rsid w:val="009526E3"/>
    <w:rsid w:val="0095369D"/>
    <w:rsid w:val="00966C93"/>
    <w:rsid w:val="00971600"/>
    <w:rsid w:val="00975FEF"/>
    <w:rsid w:val="009973B4"/>
    <w:rsid w:val="009C150D"/>
    <w:rsid w:val="009C28C1"/>
    <w:rsid w:val="009D769B"/>
    <w:rsid w:val="009E1B5D"/>
    <w:rsid w:val="009F5828"/>
    <w:rsid w:val="009F7EED"/>
    <w:rsid w:val="00A06D75"/>
    <w:rsid w:val="00A43D3C"/>
    <w:rsid w:val="00A45DD7"/>
    <w:rsid w:val="00A567D1"/>
    <w:rsid w:val="00A6095D"/>
    <w:rsid w:val="00A72D49"/>
    <w:rsid w:val="00A80636"/>
    <w:rsid w:val="00AA1FC2"/>
    <w:rsid w:val="00AA31A2"/>
    <w:rsid w:val="00AB4D21"/>
    <w:rsid w:val="00AC0189"/>
    <w:rsid w:val="00AE46F3"/>
    <w:rsid w:val="00AE6811"/>
    <w:rsid w:val="00AE7654"/>
    <w:rsid w:val="00AF066C"/>
    <w:rsid w:val="00AF0AAB"/>
    <w:rsid w:val="00AF55C5"/>
    <w:rsid w:val="00B22AA9"/>
    <w:rsid w:val="00B27ECA"/>
    <w:rsid w:val="00B313DF"/>
    <w:rsid w:val="00B7308A"/>
    <w:rsid w:val="00B748A5"/>
    <w:rsid w:val="00BA30B9"/>
    <w:rsid w:val="00BD101A"/>
    <w:rsid w:val="00BD1E67"/>
    <w:rsid w:val="00BE7C17"/>
    <w:rsid w:val="00BF55B4"/>
    <w:rsid w:val="00BF597E"/>
    <w:rsid w:val="00C04BB2"/>
    <w:rsid w:val="00C05957"/>
    <w:rsid w:val="00C33819"/>
    <w:rsid w:val="00C5013D"/>
    <w:rsid w:val="00C51A36"/>
    <w:rsid w:val="00C55228"/>
    <w:rsid w:val="00C613B4"/>
    <w:rsid w:val="00C620CE"/>
    <w:rsid w:val="00C63768"/>
    <w:rsid w:val="00C64378"/>
    <w:rsid w:val="00C77034"/>
    <w:rsid w:val="00CD4D1A"/>
    <w:rsid w:val="00CE315A"/>
    <w:rsid w:val="00D06F59"/>
    <w:rsid w:val="00D15179"/>
    <w:rsid w:val="00D2018F"/>
    <w:rsid w:val="00D32B4A"/>
    <w:rsid w:val="00D4379D"/>
    <w:rsid w:val="00D45C47"/>
    <w:rsid w:val="00D57F85"/>
    <w:rsid w:val="00D8388C"/>
    <w:rsid w:val="00D856AC"/>
    <w:rsid w:val="00D87D6A"/>
    <w:rsid w:val="00DA09E8"/>
    <w:rsid w:val="00DB4C94"/>
    <w:rsid w:val="00DC1D4B"/>
    <w:rsid w:val="00DD7961"/>
    <w:rsid w:val="00DD7D8E"/>
    <w:rsid w:val="00DE7B56"/>
    <w:rsid w:val="00DF15F0"/>
    <w:rsid w:val="00DF3454"/>
    <w:rsid w:val="00E20DA4"/>
    <w:rsid w:val="00E246F6"/>
    <w:rsid w:val="00E373BF"/>
    <w:rsid w:val="00E57243"/>
    <w:rsid w:val="00E6224C"/>
    <w:rsid w:val="00E67A0A"/>
    <w:rsid w:val="00E80CA2"/>
    <w:rsid w:val="00E8323B"/>
    <w:rsid w:val="00EA2256"/>
    <w:rsid w:val="00EA37D1"/>
    <w:rsid w:val="00EB0164"/>
    <w:rsid w:val="00EC6ECB"/>
    <w:rsid w:val="00ED06E3"/>
    <w:rsid w:val="00ED0F62"/>
    <w:rsid w:val="00F07058"/>
    <w:rsid w:val="00F140C1"/>
    <w:rsid w:val="00F51DFC"/>
    <w:rsid w:val="00F57A14"/>
    <w:rsid w:val="00F662F2"/>
    <w:rsid w:val="00F74707"/>
    <w:rsid w:val="00F774D2"/>
    <w:rsid w:val="00F90479"/>
    <w:rsid w:val="00F93FBE"/>
    <w:rsid w:val="00FB2ED1"/>
    <w:rsid w:val="00FD0EF9"/>
    <w:rsid w:val="00FE2DF7"/>
    <w:rsid w:val="01260C71"/>
    <w:rsid w:val="0148246F"/>
    <w:rsid w:val="017A46C2"/>
    <w:rsid w:val="01825FC3"/>
    <w:rsid w:val="01B97AED"/>
    <w:rsid w:val="01BB3069"/>
    <w:rsid w:val="01CE4435"/>
    <w:rsid w:val="01E27364"/>
    <w:rsid w:val="01E71258"/>
    <w:rsid w:val="01F72228"/>
    <w:rsid w:val="021B462B"/>
    <w:rsid w:val="02203F02"/>
    <w:rsid w:val="0228580F"/>
    <w:rsid w:val="026A697D"/>
    <w:rsid w:val="028120F9"/>
    <w:rsid w:val="02C41A3B"/>
    <w:rsid w:val="02C75A20"/>
    <w:rsid w:val="03085664"/>
    <w:rsid w:val="0326784C"/>
    <w:rsid w:val="032F5195"/>
    <w:rsid w:val="033362B0"/>
    <w:rsid w:val="03373FF4"/>
    <w:rsid w:val="03504EFA"/>
    <w:rsid w:val="036737B4"/>
    <w:rsid w:val="03A0688A"/>
    <w:rsid w:val="03A32F8E"/>
    <w:rsid w:val="03AC3D8E"/>
    <w:rsid w:val="03CE483E"/>
    <w:rsid w:val="03CF54E8"/>
    <w:rsid w:val="03D738E7"/>
    <w:rsid w:val="03EA5530"/>
    <w:rsid w:val="0405614C"/>
    <w:rsid w:val="042332AF"/>
    <w:rsid w:val="044125D6"/>
    <w:rsid w:val="0441326A"/>
    <w:rsid w:val="04414625"/>
    <w:rsid w:val="04883DB3"/>
    <w:rsid w:val="04981EC9"/>
    <w:rsid w:val="04C420B7"/>
    <w:rsid w:val="04FC0469"/>
    <w:rsid w:val="050D3D1E"/>
    <w:rsid w:val="05322678"/>
    <w:rsid w:val="05422E8D"/>
    <w:rsid w:val="056577F0"/>
    <w:rsid w:val="05692040"/>
    <w:rsid w:val="05705C5F"/>
    <w:rsid w:val="059C20C3"/>
    <w:rsid w:val="05A05014"/>
    <w:rsid w:val="05F6270F"/>
    <w:rsid w:val="0605101B"/>
    <w:rsid w:val="06120F24"/>
    <w:rsid w:val="0618393F"/>
    <w:rsid w:val="061B4460"/>
    <w:rsid w:val="06406560"/>
    <w:rsid w:val="067B702D"/>
    <w:rsid w:val="06994A8D"/>
    <w:rsid w:val="06AA7E97"/>
    <w:rsid w:val="06ED612A"/>
    <w:rsid w:val="06F60CE4"/>
    <w:rsid w:val="0700448C"/>
    <w:rsid w:val="071261A2"/>
    <w:rsid w:val="078701E3"/>
    <w:rsid w:val="07A12A9F"/>
    <w:rsid w:val="07A565CE"/>
    <w:rsid w:val="07BF02D7"/>
    <w:rsid w:val="07C13D29"/>
    <w:rsid w:val="07ED0401"/>
    <w:rsid w:val="07EF616D"/>
    <w:rsid w:val="07F5731B"/>
    <w:rsid w:val="081B6228"/>
    <w:rsid w:val="083339D6"/>
    <w:rsid w:val="083B735B"/>
    <w:rsid w:val="08767210"/>
    <w:rsid w:val="0884117F"/>
    <w:rsid w:val="08851DD7"/>
    <w:rsid w:val="08A65A0B"/>
    <w:rsid w:val="08C22483"/>
    <w:rsid w:val="08E03A80"/>
    <w:rsid w:val="08ED1EE8"/>
    <w:rsid w:val="09005957"/>
    <w:rsid w:val="09621B67"/>
    <w:rsid w:val="096333C5"/>
    <w:rsid w:val="0977604F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4D2BD0"/>
    <w:rsid w:val="0B5C5276"/>
    <w:rsid w:val="0B8E28C6"/>
    <w:rsid w:val="0BCE544E"/>
    <w:rsid w:val="0BE64DFF"/>
    <w:rsid w:val="0C466D6D"/>
    <w:rsid w:val="0C5423F7"/>
    <w:rsid w:val="0C575FF6"/>
    <w:rsid w:val="0C8009B8"/>
    <w:rsid w:val="0C842FD4"/>
    <w:rsid w:val="0CA27A29"/>
    <w:rsid w:val="0CC102DA"/>
    <w:rsid w:val="0CC85F41"/>
    <w:rsid w:val="0CC87248"/>
    <w:rsid w:val="0CD5463E"/>
    <w:rsid w:val="0CE43FF6"/>
    <w:rsid w:val="0CE57F67"/>
    <w:rsid w:val="0CEB516B"/>
    <w:rsid w:val="0D0D1D0A"/>
    <w:rsid w:val="0D181113"/>
    <w:rsid w:val="0D1E4D9B"/>
    <w:rsid w:val="0D4D1326"/>
    <w:rsid w:val="0D6A2C36"/>
    <w:rsid w:val="0D7B34FF"/>
    <w:rsid w:val="0DB35CC0"/>
    <w:rsid w:val="0DD9585D"/>
    <w:rsid w:val="0DF67BD1"/>
    <w:rsid w:val="0E2D75AB"/>
    <w:rsid w:val="0E306F6C"/>
    <w:rsid w:val="0E49595F"/>
    <w:rsid w:val="0E4C35DF"/>
    <w:rsid w:val="0E5927F2"/>
    <w:rsid w:val="0E6D4117"/>
    <w:rsid w:val="0EA43140"/>
    <w:rsid w:val="0EA50415"/>
    <w:rsid w:val="0EB8524B"/>
    <w:rsid w:val="0EB8667B"/>
    <w:rsid w:val="0ECE0C57"/>
    <w:rsid w:val="0F553CC8"/>
    <w:rsid w:val="0F86648B"/>
    <w:rsid w:val="0FBB3782"/>
    <w:rsid w:val="0FDE4D72"/>
    <w:rsid w:val="0FED2211"/>
    <w:rsid w:val="0FFA42BF"/>
    <w:rsid w:val="100B6D7F"/>
    <w:rsid w:val="100D075A"/>
    <w:rsid w:val="1055343B"/>
    <w:rsid w:val="106A3497"/>
    <w:rsid w:val="108219C2"/>
    <w:rsid w:val="10991918"/>
    <w:rsid w:val="10A120FB"/>
    <w:rsid w:val="10AB5B5F"/>
    <w:rsid w:val="10C112A0"/>
    <w:rsid w:val="10C11C69"/>
    <w:rsid w:val="10C54500"/>
    <w:rsid w:val="10C64B2B"/>
    <w:rsid w:val="10D61701"/>
    <w:rsid w:val="10DD2E35"/>
    <w:rsid w:val="113F6014"/>
    <w:rsid w:val="11536201"/>
    <w:rsid w:val="115D3DB9"/>
    <w:rsid w:val="11A75623"/>
    <w:rsid w:val="11BD2BE2"/>
    <w:rsid w:val="11BE2038"/>
    <w:rsid w:val="11C40475"/>
    <w:rsid w:val="11DC0AC4"/>
    <w:rsid w:val="11E2439D"/>
    <w:rsid w:val="121A66AF"/>
    <w:rsid w:val="123928D6"/>
    <w:rsid w:val="12563B2D"/>
    <w:rsid w:val="126207EB"/>
    <w:rsid w:val="12A2571D"/>
    <w:rsid w:val="12A42EA7"/>
    <w:rsid w:val="12A506D3"/>
    <w:rsid w:val="12BA01F9"/>
    <w:rsid w:val="131C6135"/>
    <w:rsid w:val="13296CDD"/>
    <w:rsid w:val="133370C5"/>
    <w:rsid w:val="134E7573"/>
    <w:rsid w:val="13641F47"/>
    <w:rsid w:val="13890C2B"/>
    <w:rsid w:val="139E437B"/>
    <w:rsid w:val="13A420AC"/>
    <w:rsid w:val="13B62D6C"/>
    <w:rsid w:val="13C11723"/>
    <w:rsid w:val="13DB5CFA"/>
    <w:rsid w:val="13EB79B2"/>
    <w:rsid w:val="13F05B29"/>
    <w:rsid w:val="13FF2186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05218A"/>
    <w:rsid w:val="151414F9"/>
    <w:rsid w:val="154C7AB0"/>
    <w:rsid w:val="15597511"/>
    <w:rsid w:val="155F4281"/>
    <w:rsid w:val="156F663C"/>
    <w:rsid w:val="158A110F"/>
    <w:rsid w:val="15B265C1"/>
    <w:rsid w:val="15B5072B"/>
    <w:rsid w:val="15BC540D"/>
    <w:rsid w:val="160D3D01"/>
    <w:rsid w:val="16210B83"/>
    <w:rsid w:val="16583F2B"/>
    <w:rsid w:val="1659703F"/>
    <w:rsid w:val="16887B9B"/>
    <w:rsid w:val="16A30791"/>
    <w:rsid w:val="16AB3CAD"/>
    <w:rsid w:val="16BA3F49"/>
    <w:rsid w:val="16E341B9"/>
    <w:rsid w:val="16F10A78"/>
    <w:rsid w:val="17104646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247CB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E03EA"/>
    <w:rsid w:val="198F29B9"/>
    <w:rsid w:val="19A86669"/>
    <w:rsid w:val="19C75256"/>
    <w:rsid w:val="19D74BC7"/>
    <w:rsid w:val="19D961EB"/>
    <w:rsid w:val="19E36F77"/>
    <w:rsid w:val="19FD49DB"/>
    <w:rsid w:val="1A041A8F"/>
    <w:rsid w:val="1A0822F2"/>
    <w:rsid w:val="1A274382"/>
    <w:rsid w:val="1A301C0B"/>
    <w:rsid w:val="1A3A675E"/>
    <w:rsid w:val="1A546A4C"/>
    <w:rsid w:val="1A6C3FF9"/>
    <w:rsid w:val="1A996190"/>
    <w:rsid w:val="1AAF33A8"/>
    <w:rsid w:val="1AB42370"/>
    <w:rsid w:val="1ACF1254"/>
    <w:rsid w:val="1AE83DAE"/>
    <w:rsid w:val="1AED5B63"/>
    <w:rsid w:val="1B1E6CAD"/>
    <w:rsid w:val="1B462375"/>
    <w:rsid w:val="1B4E57F8"/>
    <w:rsid w:val="1B5E3B97"/>
    <w:rsid w:val="1B6B0728"/>
    <w:rsid w:val="1BE61A9D"/>
    <w:rsid w:val="1BE748D5"/>
    <w:rsid w:val="1C392A3A"/>
    <w:rsid w:val="1C683E38"/>
    <w:rsid w:val="1CB1322F"/>
    <w:rsid w:val="1CEB1474"/>
    <w:rsid w:val="1CF3399B"/>
    <w:rsid w:val="1CFD2AFE"/>
    <w:rsid w:val="1D0B42B9"/>
    <w:rsid w:val="1D4D4A00"/>
    <w:rsid w:val="1D7E4D3F"/>
    <w:rsid w:val="1DAE3E96"/>
    <w:rsid w:val="1DC4038A"/>
    <w:rsid w:val="1DE30E61"/>
    <w:rsid w:val="1DE72E6D"/>
    <w:rsid w:val="1DF36090"/>
    <w:rsid w:val="1DFE25B1"/>
    <w:rsid w:val="1E1A7AD5"/>
    <w:rsid w:val="1E1B241E"/>
    <w:rsid w:val="1E34711A"/>
    <w:rsid w:val="1E3D6E5E"/>
    <w:rsid w:val="1E511FFA"/>
    <w:rsid w:val="1E675439"/>
    <w:rsid w:val="1E6B0815"/>
    <w:rsid w:val="1E752FA2"/>
    <w:rsid w:val="1E846B0F"/>
    <w:rsid w:val="1E8A1FBA"/>
    <w:rsid w:val="1ED9609A"/>
    <w:rsid w:val="1EF77273"/>
    <w:rsid w:val="1F0756AB"/>
    <w:rsid w:val="1F1B65D5"/>
    <w:rsid w:val="1F2A3D81"/>
    <w:rsid w:val="1F35289F"/>
    <w:rsid w:val="1F4E73A5"/>
    <w:rsid w:val="1F576E06"/>
    <w:rsid w:val="1F61098D"/>
    <w:rsid w:val="1F752242"/>
    <w:rsid w:val="1F756527"/>
    <w:rsid w:val="1F7F0170"/>
    <w:rsid w:val="1F8B56B0"/>
    <w:rsid w:val="1F8E0A45"/>
    <w:rsid w:val="1FAB395F"/>
    <w:rsid w:val="1FB41974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6618E4"/>
    <w:rsid w:val="207644C2"/>
    <w:rsid w:val="20A511F6"/>
    <w:rsid w:val="20A856C1"/>
    <w:rsid w:val="20BE1D38"/>
    <w:rsid w:val="20CD6F91"/>
    <w:rsid w:val="20E1795A"/>
    <w:rsid w:val="20FC30A5"/>
    <w:rsid w:val="21A07B88"/>
    <w:rsid w:val="21A34258"/>
    <w:rsid w:val="21A576DD"/>
    <w:rsid w:val="21B31BF6"/>
    <w:rsid w:val="21D24208"/>
    <w:rsid w:val="21E11F3F"/>
    <w:rsid w:val="226B2F60"/>
    <w:rsid w:val="22813299"/>
    <w:rsid w:val="229F2D1A"/>
    <w:rsid w:val="23363714"/>
    <w:rsid w:val="23461CA8"/>
    <w:rsid w:val="238A1BAA"/>
    <w:rsid w:val="23900E62"/>
    <w:rsid w:val="23BF3886"/>
    <w:rsid w:val="23CC720A"/>
    <w:rsid w:val="2413750A"/>
    <w:rsid w:val="241A6B34"/>
    <w:rsid w:val="24285E2F"/>
    <w:rsid w:val="242A7B69"/>
    <w:rsid w:val="24553A74"/>
    <w:rsid w:val="246A25EE"/>
    <w:rsid w:val="247622DE"/>
    <w:rsid w:val="247A0059"/>
    <w:rsid w:val="2480482A"/>
    <w:rsid w:val="2483299C"/>
    <w:rsid w:val="24950DD7"/>
    <w:rsid w:val="24A05D8E"/>
    <w:rsid w:val="24B6555E"/>
    <w:rsid w:val="24FC7C66"/>
    <w:rsid w:val="250B2546"/>
    <w:rsid w:val="2519537A"/>
    <w:rsid w:val="255B7926"/>
    <w:rsid w:val="258041F6"/>
    <w:rsid w:val="258609CC"/>
    <w:rsid w:val="25B809C4"/>
    <w:rsid w:val="25D849A3"/>
    <w:rsid w:val="25E40E30"/>
    <w:rsid w:val="25ED68F6"/>
    <w:rsid w:val="261B55F8"/>
    <w:rsid w:val="261C0F72"/>
    <w:rsid w:val="261D5675"/>
    <w:rsid w:val="26325483"/>
    <w:rsid w:val="26410887"/>
    <w:rsid w:val="269B74E0"/>
    <w:rsid w:val="269C7CAD"/>
    <w:rsid w:val="26DD3CA5"/>
    <w:rsid w:val="27130F81"/>
    <w:rsid w:val="271B4DE1"/>
    <w:rsid w:val="272228DE"/>
    <w:rsid w:val="27443F4D"/>
    <w:rsid w:val="274B78E8"/>
    <w:rsid w:val="27573F76"/>
    <w:rsid w:val="27602485"/>
    <w:rsid w:val="2769659E"/>
    <w:rsid w:val="276C5E49"/>
    <w:rsid w:val="279F2942"/>
    <w:rsid w:val="27A70039"/>
    <w:rsid w:val="27CF15FE"/>
    <w:rsid w:val="27D42EE9"/>
    <w:rsid w:val="27E10A81"/>
    <w:rsid w:val="27FE6486"/>
    <w:rsid w:val="28054BC5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11264A"/>
    <w:rsid w:val="2A1E7389"/>
    <w:rsid w:val="2A3A6E77"/>
    <w:rsid w:val="2A4311FB"/>
    <w:rsid w:val="2A570814"/>
    <w:rsid w:val="2A85024C"/>
    <w:rsid w:val="2AA86BA1"/>
    <w:rsid w:val="2ABD2BAD"/>
    <w:rsid w:val="2AC8327F"/>
    <w:rsid w:val="2AD3142C"/>
    <w:rsid w:val="2B0D2F04"/>
    <w:rsid w:val="2B1D2572"/>
    <w:rsid w:val="2B206A2D"/>
    <w:rsid w:val="2B3708E7"/>
    <w:rsid w:val="2B492E1A"/>
    <w:rsid w:val="2B4C1179"/>
    <w:rsid w:val="2B5D0EFC"/>
    <w:rsid w:val="2B6C36BA"/>
    <w:rsid w:val="2B7B0583"/>
    <w:rsid w:val="2BD60481"/>
    <w:rsid w:val="2BE40375"/>
    <w:rsid w:val="2BEA3FA7"/>
    <w:rsid w:val="2BFD441A"/>
    <w:rsid w:val="2BFE5B20"/>
    <w:rsid w:val="2C2E44D4"/>
    <w:rsid w:val="2C486A96"/>
    <w:rsid w:val="2C6D435A"/>
    <w:rsid w:val="2C7B6C71"/>
    <w:rsid w:val="2CA2368F"/>
    <w:rsid w:val="2CA954CC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E76EE7"/>
    <w:rsid w:val="2DFF79D8"/>
    <w:rsid w:val="2E367C56"/>
    <w:rsid w:val="2E440885"/>
    <w:rsid w:val="2E4875EB"/>
    <w:rsid w:val="2EEE512C"/>
    <w:rsid w:val="2F7C571D"/>
    <w:rsid w:val="2F824436"/>
    <w:rsid w:val="2FA86B66"/>
    <w:rsid w:val="2FC82DC8"/>
    <w:rsid w:val="2FE823A5"/>
    <w:rsid w:val="2FEA1C57"/>
    <w:rsid w:val="30015004"/>
    <w:rsid w:val="300172B8"/>
    <w:rsid w:val="30284CE9"/>
    <w:rsid w:val="30945277"/>
    <w:rsid w:val="30C1548B"/>
    <w:rsid w:val="30C36ECA"/>
    <w:rsid w:val="30C71DD4"/>
    <w:rsid w:val="30D974AD"/>
    <w:rsid w:val="30DC7CB1"/>
    <w:rsid w:val="30DD7792"/>
    <w:rsid w:val="30ED30CC"/>
    <w:rsid w:val="31064141"/>
    <w:rsid w:val="311452F1"/>
    <w:rsid w:val="31B477DB"/>
    <w:rsid w:val="31B67BE2"/>
    <w:rsid w:val="31CA71DD"/>
    <w:rsid w:val="32341738"/>
    <w:rsid w:val="324D055C"/>
    <w:rsid w:val="324E5138"/>
    <w:rsid w:val="325E1B93"/>
    <w:rsid w:val="32B943E0"/>
    <w:rsid w:val="32C70BAE"/>
    <w:rsid w:val="32D06D58"/>
    <w:rsid w:val="32E75811"/>
    <w:rsid w:val="331E21CE"/>
    <w:rsid w:val="332B6F8B"/>
    <w:rsid w:val="33424DF8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B53587"/>
    <w:rsid w:val="34F92D63"/>
    <w:rsid w:val="35527F1F"/>
    <w:rsid w:val="35623E6F"/>
    <w:rsid w:val="35754D97"/>
    <w:rsid w:val="357914C0"/>
    <w:rsid w:val="35994264"/>
    <w:rsid w:val="35D721CD"/>
    <w:rsid w:val="36174333"/>
    <w:rsid w:val="3623081B"/>
    <w:rsid w:val="362B5212"/>
    <w:rsid w:val="3640586E"/>
    <w:rsid w:val="364A3F09"/>
    <w:rsid w:val="367A501B"/>
    <w:rsid w:val="369E57D4"/>
    <w:rsid w:val="36C137D0"/>
    <w:rsid w:val="36C91110"/>
    <w:rsid w:val="36EA4486"/>
    <w:rsid w:val="36F725CF"/>
    <w:rsid w:val="372D3763"/>
    <w:rsid w:val="37437FCF"/>
    <w:rsid w:val="3763284C"/>
    <w:rsid w:val="37A3423F"/>
    <w:rsid w:val="37A66325"/>
    <w:rsid w:val="37AF435B"/>
    <w:rsid w:val="37B82B0E"/>
    <w:rsid w:val="37D8509F"/>
    <w:rsid w:val="380178E9"/>
    <w:rsid w:val="38363F4B"/>
    <w:rsid w:val="385969A9"/>
    <w:rsid w:val="386866FF"/>
    <w:rsid w:val="38803663"/>
    <w:rsid w:val="389A539F"/>
    <w:rsid w:val="38B37216"/>
    <w:rsid w:val="38BD5C7F"/>
    <w:rsid w:val="38C5580C"/>
    <w:rsid w:val="38EC325F"/>
    <w:rsid w:val="39065B84"/>
    <w:rsid w:val="39236981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9FA079B"/>
    <w:rsid w:val="3A34450F"/>
    <w:rsid w:val="3A3E0D9F"/>
    <w:rsid w:val="3A5573DE"/>
    <w:rsid w:val="3A5F4E3E"/>
    <w:rsid w:val="3AAB1306"/>
    <w:rsid w:val="3ABD0173"/>
    <w:rsid w:val="3AC172FF"/>
    <w:rsid w:val="3ACE23E2"/>
    <w:rsid w:val="3ADD35A8"/>
    <w:rsid w:val="3B0D014A"/>
    <w:rsid w:val="3B227AA7"/>
    <w:rsid w:val="3B4241C0"/>
    <w:rsid w:val="3B556BCC"/>
    <w:rsid w:val="3B5F0280"/>
    <w:rsid w:val="3B756E7F"/>
    <w:rsid w:val="3BAB4C5D"/>
    <w:rsid w:val="3BEE1D6F"/>
    <w:rsid w:val="3BF1473C"/>
    <w:rsid w:val="3C1D592B"/>
    <w:rsid w:val="3C5211A4"/>
    <w:rsid w:val="3C543264"/>
    <w:rsid w:val="3C5C5688"/>
    <w:rsid w:val="3C6633BD"/>
    <w:rsid w:val="3CA475E5"/>
    <w:rsid w:val="3CA717F2"/>
    <w:rsid w:val="3CC445CD"/>
    <w:rsid w:val="3CC56579"/>
    <w:rsid w:val="3CE61AB3"/>
    <w:rsid w:val="3CED4B6C"/>
    <w:rsid w:val="3CF10988"/>
    <w:rsid w:val="3D0609D0"/>
    <w:rsid w:val="3D073283"/>
    <w:rsid w:val="3DAB460B"/>
    <w:rsid w:val="3DDA7DB2"/>
    <w:rsid w:val="3DE86112"/>
    <w:rsid w:val="3E342793"/>
    <w:rsid w:val="3E3C5235"/>
    <w:rsid w:val="3EA34B57"/>
    <w:rsid w:val="3ECE6363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0251EC"/>
    <w:rsid w:val="410C3893"/>
    <w:rsid w:val="41342A6B"/>
    <w:rsid w:val="413D2B71"/>
    <w:rsid w:val="414C7183"/>
    <w:rsid w:val="41523250"/>
    <w:rsid w:val="418D501C"/>
    <w:rsid w:val="41D557CA"/>
    <w:rsid w:val="41DF62BB"/>
    <w:rsid w:val="41E25CA6"/>
    <w:rsid w:val="41E9167B"/>
    <w:rsid w:val="41EE6927"/>
    <w:rsid w:val="420F7024"/>
    <w:rsid w:val="423A05B2"/>
    <w:rsid w:val="423C5247"/>
    <w:rsid w:val="423E693C"/>
    <w:rsid w:val="42416B50"/>
    <w:rsid w:val="424465AD"/>
    <w:rsid w:val="424D023F"/>
    <w:rsid w:val="42541DDE"/>
    <w:rsid w:val="4262379E"/>
    <w:rsid w:val="427A1188"/>
    <w:rsid w:val="42942F0B"/>
    <w:rsid w:val="42C26D29"/>
    <w:rsid w:val="432A5E11"/>
    <w:rsid w:val="433B1167"/>
    <w:rsid w:val="4352128B"/>
    <w:rsid w:val="435F500F"/>
    <w:rsid w:val="43C730CD"/>
    <w:rsid w:val="43CF2854"/>
    <w:rsid w:val="44087BCA"/>
    <w:rsid w:val="44350F69"/>
    <w:rsid w:val="44A527AB"/>
    <w:rsid w:val="44A567F5"/>
    <w:rsid w:val="453B1EBC"/>
    <w:rsid w:val="45635AEC"/>
    <w:rsid w:val="4596579A"/>
    <w:rsid w:val="45A90F07"/>
    <w:rsid w:val="45BA54FA"/>
    <w:rsid w:val="45C810D7"/>
    <w:rsid w:val="45EC74A5"/>
    <w:rsid w:val="45FA6B69"/>
    <w:rsid w:val="460414DD"/>
    <w:rsid w:val="46114E42"/>
    <w:rsid w:val="46332B60"/>
    <w:rsid w:val="4654705C"/>
    <w:rsid w:val="466B2E70"/>
    <w:rsid w:val="468D2C1F"/>
    <w:rsid w:val="468D3CA5"/>
    <w:rsid w:val="46A51AB4"/>
    <w:rsid w:val="46AB2828"/>
    <w:rsid w:val="46B421B8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7E085E"/>
    <w:rsid w:val="48DA35BF"/>
    <w:rsid w:val="48ED577E"/>
    <w:rsid w:val="48FB3C39"/>
    <w:rsid w:val="495D1E4B"/>
    <w:rsid w:val="49912790"/>
    <w:rsid w:val="49924247"/>
    <w:rsid w:val="49C0281D"/>
    <w:rsid w:val="49E3211A"/>
    <w:rsid w:val="49E449BF"/>
    <w:rsid w:val="49E82D09"/>
    <w:rsid w:val="49EC77B8"/>
    <w:rsid w:val="49ED5B1C"/>
    <w:rsid w:val="4A3F72E2"/>
    <w:rsid w:val="4A5548A9"/>
    <w:rsid w:val="4A8610DE"/>
    <w:rsid w:val="4A937655"/>
    <w:rsid w:val="4AD45EF1"/>
    <w:rsid w:val="4AE04A18"/>
    <w:rsid w:val="4B1401ED"/>
    <w:rsid w:val="4B337454"/>
    <w:rsid w:val="4B407CC6"/>
    <w:rsid w:val="4B42232B"/>
    <w:rsid w:val="4B602ECF"/>
    <w:rsid w:val="4B825A76"/>
    <w:rsid w:val="4B86007D"/>
    <w:rsid w:val="4B8B3702"/>
    <w:rsid w:val="4B9B0D7E"/>
    <w:rsid w:val="4BC83B65"/>
    <w:rsid w:val="4BCF6DA3"/>
    <w:rsid w:val="4BDE2971"/>
    <w:rsid w:val="4C0C3B65"/>
    <w:rsid w:val="4C204239"/>
    <w:rsid w:val="4C247C80"/>
    <w:rsid w:val="4C92412F"/>
    <w:rsid w:val="4CA74E41"/>
    <w:rsid w:val="4CA91B51"/>
    <w:rsid w:val="4CB62537"/>
    <w:rsid w:val="4CC12D02"/>
    <w:rsid w:val="4CD2365B"/>
    <w:rsid w:val="4CE57F93"/>
    <w:rsid w:val="4D0F484F"/>
    <w:rsid w:val="4D352804"/>
    <w:rsid w:val="4D374D03"/>
    <w:rsid w:val="4D4D529E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6C5E44"/>
    <w:rsid w:val="4E732061"/>
    <w:rsid w:val="4E7774D0"/>
    <w:rsid w:val="4E985CAB"/>
    <w:rsid w:val="4EAA463D"/>
    <w:rsid w:val="4EFE4539"/>
    <w:rsid w:val="4F594843"/>
    <w:rsid w:val="4F88590D"/>
    <w:rsid w:val="503C3BCC"/>
    <w:rsid w:val="50AE7138"/>
    <w:rsid w:val="50C41CF1"/>
    <w:rsid w:val="50F01F62"/>
    <w:rsid w:val="51217DA6"/>
    <w:rsid w:val="51294703"/>
    <w:rsid w:val="51425A27"/>
    <w:rsid w:val="5158757E"/>
    <w:rsid w:val="521A5D1E"/>
    <w:rsid w:val="523624DE"/>
    <w:rsid w:val="523E1EF0"/>
    <w:rsid w:val="526B2302"/>
    <w:rsid w:val="52735F79"/>
    <w:rsid w:val="52A23F56"/>
    <w:rsid w:val="52BA5471"/>
    <w:rsid w:val="52CC19B1"/>
    <w:rsid w:val="52D871F4"/>
    <w:rsid w:val="52F263D6"/>
    <w:rsid w:val="53024EB7"/>
    <w:rsid w:val="530F50CC"/>
    <w:rsid w:val="531F2139"/>
    <w:rsid w:val="53261795"/>
    <w:rsid w:val="534F62F7"/>
    <w:rsid w:val="53660E02"/>
    <w:rsid w:val="536F60C1"/>
    <w:rsid w:val="53953BE7"/>
    <w:rsid w:val="53B87D13"/>
    <w:rsid w:val="53DB2F56"/>
    <w:rsid w:val="53F51637"/>
    <w:rsid w:val="54041CD4"/>
    <w:rsid w:val="54124FEF"/>
    <w:rsid w:val="541C4B67"/>
    <w:rsid w:val="5424325D"/>
    <w:rsid w:val="54DD3304"/>
    <w:rsid w:val="54DE7CCB"/>
    <w:rsid w:val="550429BE"/>
    <w:rsid w:val="550E235A"/>
    <w:rsid w:val="552A2893"/>
    <w:rsid w:val="55417660"/>
    <w:rsid w:val="55436287"/>
    <w:rsid w:val="556B045B"/>
    <w:rsid w:val="557D4E77"/>
    <w:rsid w:val="55C375DD"/>
    <w:rsid w:val="56156439"/>
    <w:rsid w:val="562716F5"/>
    <w:rsid w:val="56643532"/>
    <w:rsid w:val="56865BD8"/>
    <w:rsid w:val="568B5A7B"/>
    <w:rsid w:val="56997281"/>
    <w:rsid w:val="56C41BCC"/>
    <w:rsid w:val="570A6E63"/>
    <w:rsid w:val="573B0118"/>
    <w:rsid w:val="573D2268"/>
    <w:rsid w:val="57411925"/>
    <w:rsid w:val="57441E32"/>
    <w:rsid w:val="574E7265"/>
    <w:rsid w:val="57535542"/>
    <w:rsid w:val="57565282"/>
    <w:rsid w:val="575B3098"/>
    <w:rsid w:val="575E2B20"/>
    <w:rsid w:val="57A14CB5"/>
    <w:rsid w:val="57AF0FF1"/>
    <w:rsid w:val="57F55B90"/>
    <w:rsid w:val="580950F1"/>
    <w:rsid w:val="580F191D"/>
    <w:rsid w:val="581B6507"/>
    <w:rsid w:val="58276F84"/>
    <w:rsid w:val="58584813"/>
    <w:rsid w:val="58B728A2"/>
    <w:rsid w:val="58B868EB"/>
    <w:rsid w:val="58CD6892"/>
    <w:rsid w:val="58D46744"/>
    <w:rsid w:val="58DA17E1"/>
    <w:rsid w:val="590D059A"/>
    <w:rsid w:val="59164DCE"/>
    <w:rsid w:val="592802C2"/>
    <w:rsid w:val="595B0B5E"/>
    <w:rsid w:val="59623A6F"/>
    <w:rsid w:val="596D1AD9"/>
    <w:rsid w:val="5978735A"/>
    <w:rsid w:val="599424C5"/>
    <w:rsid w:val="59E42114"/>
    <w:rsid w:val="59E710C8"/>
    <w:rsid w:val="5A1C59A1"/>
    <w:rsid w:val="5A241F17"/>
    <w:rsid w:val="5A407674"/>
    <w:rsid w:val="5A432974"/>
    <w:rsid w:val="5A67161C"/>
    <w:rsid w:val="5A6A20C5"/>
    <w:rsid w:val="5A851102"/>
    <w:rsid w:val="5AB52168"/>
    <w:rsid w:val="5AD64AF2"/>
    <w:rsid w:val="5AF377C8"/>
    <w:rsid w:val="5B0449BC"/>
    <w:rsid w:val="5B1C3E02"/>
    <w:rsid w:val="5B513157"/>
    <w:rsid w:val="5B517209"/>
    <w:rsid w:val="5B544EB3"/>
    <w:rsid w:val="5B6A33DD"/>
    <w:rsid w:val="5B7C5AEB"/>
    <w:rsid w:val="5BA144BF"/>
    <w:rsid w:val="5BD84182"/>
    <w:rsid w:val="5BF04FFA"/>
    <w:rsid w:val="5C241AEE"/>
    <w:rsid w:val="5C4D2649"/>
    <w:rsid w:val="5C6F6375"/>
    <w:rsid w:val="5C741B1E"/>
    <w:rsid w:val="5C8D6CFF"/>
    <w:rsid w:val="5C966EB6"/>
    <w:rsid w:val="5CB336E1"/>
    <w:rsid w:val="5CB9068F"/>
    <w:rsid w:val="5CE00D30"/>
    <w:rsid w:val="5CED4821"/>
    <w:rsid w:val="5CF21AD5"/>
    <w:rsid w:val="5CF77CCA"/>
    <w:rsid w:val="5D013462"/>
    <w:rsid w:val="5D3351AF"/>
    <w:rsid w:val="5D604E0E"/>
    <w:rsid w:val="5D633362"/>
    <w:rsid w:val="5D656BAA"/>
    <w:rsid w:val="5D6672E4"/>
    <w:rsid w:val="5D6A28B8"/>
    <w:rsid w:val="5D6B7BC6"/>
    <w:rsid w:val="5D6C21B2"/>
    <w:rsid w:val="5D827878"/>
    <w:rsid w:val="5D88228C"/>
    <w:rsid w:val="5D8F3707"/>
    <w:rsid w:val="5DA67CA3"/>
    <w:rsid w:val="5DBF6011"/>
    <w:rsid w:val="5DC13CCC"/>
    <w:rsid w:val="5DC55564"/>
    <w:rsid w:val="5DDA5570"/>
    <w:rsid w:val="5DE86882"/>
    <w:rsid w:val="5E01254D"/>
    <w:rsid w:val="5E0D6E91"/>
    <w:rsid w:val="5E1D75C7"/>
    <w:rsid w:val="5E264AF8"/>
    <w:rsid w:val="5E3B413F"/>
    <w:rsid w:val="5E6C5A58"/>
    <w:rsid w:val="5E7B5BB1"/>
    <w:rsid w:val="5E971B73"/>
    <w:rsid w:val="5EA12B9A"/>
    <w:rsid w:val="5EA827B4"/>
    <w:rsid w:val="5EB61B43"/>
    <w:rsid w:val="5EBA7075"/>
    <w:rsid w:val="5EBF5DC8"/>
    <w:rsid w:val="5F02275D"/>
    <w:rsid w:val="5F136037"/>
    <w:rsid w:val="5F14059B"/>
    <w:rsid w:val="5F291E1B"/>
    <w:rsid w:val="5F551AC0"/>
    <w:rsid w:val="5F616E2A"/>
    <w:rsid w:val="5FCC65B3"/>
    <w:rsid w:val="5FE015B4"/>
    <w:rsid w:val="5FEE3CFF"/>
    <w:rsid w:val="6018182B"/>
    <w:rsid w:val="601E0F43"/>
    <w:rsid w:val="60250281"/>
    <w:rsid w:val="60321D44"/>
    <w:rsid w:val="60596F8D"/>
    <w:rsid w:val="608075E1"/>
    <w:rsid w:val="60E47C4C"/>
    <w:rsid w:val="60E60A17"/>
    <w:rsid w:val="61326FB1"/>
    <w:rsid w:val="61384C31"/>
    <w:rsid w:val="61387C98"/>
    <w:rsid w:val="6159523D"/>
    <w:rsid w:val="616336B3"/>
    <w:rsid w:val="61744854"/>
    <w:rsid w:val="617B4539"/>
    <w:rsid w:val="61857CB5"/>
    <w:rsid w:val="618F58DC"/>
    <w:rsid w:val="619A179D"/>
    <w:rsid w:val="61E77A7E"/>
    <w:rsid w:val="62257ECD"/>
    <w:rsid w:val="622A4138"/>
    <w:rsid w:val="62385483"/>
    <w:rsid w:val="62385A6C"/>
    <w:rsid w:val="62514BE0"/>
    <w:rsid w:val="625901DA"/>
    <w:rsid w:val="62795257"/>
    <w:rsid w:val="62876D77"/>
    <w:rsid w:val="62CA4AF4"/>
    <w:rsid w:val="62DF6E12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370B"/>
    <w:rsid w:val="64106CE7"/>
    <w:rsid w:val="64621F9C"/>
    <w:rsid w:val="64812BA2"/>
    <w:rsid w:val="649C75C9"/>
    <w:rsid w:val="64A537DD"/>
    <w:rsid w:val="64B51DAE"/>
    <w:rsid w:val="64B62A61"/>
    <w:rsid w:val="64B96E85"/>
    <w:rsid w:val="64BB6795"/>
    <w:rsid w:val="64D069A0"/>
    <w:rsid w:val="64F27E75"/>
    <w:rsid w:val="65067C78"/>
    <w:rsid w:val="651152E5"/>
    <w:rsid w:val="6542498D"/>
    <w:rsid w:val="655D358A"/>
    <w:rsid w:val="65600ACC"/>
    <w:rsid w:val="65662197"/>
    <w:rsid w:val="658C79F9"/>
    <w:rsid w:val="65A33DF6"/>
    <w:rsid w:val="65B451D1"/>
    <w:rsid w:val="65BE04E1"/>
    <w:rsid w:val="65C11C22"/>
    <w:rsid w:val="65F429F0"/>
    <w:rsid w:val="65F4344F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E65335"/>
    <w:rsid w:val="66FA7FFA"/>
    <w:rsid w:val="66FD19D6"/>
    <w:rsid w:val="675A3B6C"/>
    <w:rsid w:val="678B4DA6"/>
    <w:rsid w:val="67AC0D53"/>
    <w:rsid w:val="67AF7DB6"/>
    <w:rsid w:val="680564C6"/>
    <w:rsid w:val="68084323"/>
    <w:rsid w:val="681B3F7A"/>
    <w:rsid w:val="68233428"/>
    <w:rsid w:val="68291784"/>
    <w:rsid w:val="6847289A"/>
    <w:rsid w:val="68494570"/>
    <w:rsid w:val="68746C8D"/>
    <w:rsid w:val="687C35AE"/>
    <w:rsid w:val="689D7548"/>
    <w:rsid w:val="68B54AF7"/>
    <w:rsid w:val="68BB527D"/>
    <w:rsid w:val="68C96D98"/>
    <w:rsid w:val="68CA009F"/>
    <w:rsid w:val="68D402C9"/>
    <w:rsid w:val="68D670D7"/>
    <w:rsid w:val="68E43EF4"/>
    <w:rsid w:val="68E4572E"/>
    <w:rsid w:val="695B5920"/>
    <w:rsid w:val="6968782D"/>
    <w:rsid w:val="698A692A"/>
    <w:rsid w:val="699E5999"/>
    <w:rsid w:val="69B35A0D"/>
    <w:rsid w:val="69B822F3"/>
    <w:rsid w:val="69CC607C"/>
    <w:rsid w:val="69EA1163"/>
    <w:rsid w:val="69F96768"/>
    <w:rsid w:val="6A176492"/>
    <w:rsid w:val="6A287F98"/>
    <w:rsid w:val="6A617707"/>
    <w:rsid w:val="6A657B3D"/>
    <w:rsid w:val="6A886720"/>
    <w:rsid w:val="6AB40496"/>
    <w:rsid w:val="6ABD1D5E"/>
    <w:rsid w:val="6AC0289E"/>
    <w:rsid w:val="6AF33939"/>
    <w:rsid w:val="6B0F60AF"/>
    <w:rsid w:val="6B795D62"/>
    <w:rsid w:val="6B894EA4"/>
    <w:rsid w:val="6B981EF4"/>
    <w:rsid w:val="6BC747F5"/>
    <w:rsid w:val="6BD35CE4"/>
    <w:rsid w:val="6BDF5D46"/>
    <w:rsid w:val="6BF1529E"/>
    <w:rsid w:val="6BF66D35"/>
    <w:rsid w:val="6C1272FC"/>
    <w:rsid w:val="6C3014BE"/>
    <w:rsid w:val="6C38001D"/>
    <w:rsid w:val="6C5D414F"/>
    <w:rsid w:val="6C77423E"/>
    <w:rsid w:val="6C9C2F85"/>
    <w:rsid w:val="6C9D6944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233D2E"/>
    <w:rsid w:val="6E641038"/>
    <w:rsid w:val="6EB36C33"/>
    <w:rsid w:val="6EBD0EA6"/>
    <w:rsid w:val="6EBF38BA"/>
    <w:rsid w:val="6ED70A72"/>
    <w:rsid w:val="6F2E7208"/>
    <w:rsid w:val="6F435405"/>
    <w:rsid w:val="6F4810D8"/>
    <w:rsid w:val="6F6D2BAA"/>
    <w:rsid w:val="6F7C3054"/>
    <w:rsid w:val="6F992A5F"/>
    <w:rsid w:val="6F9A4A47"/>
    <w:rsid w:val="6FDC792B"/>
    <w:rsid w:val="701310D6"/>
    <w:rsid w:val="701710D0"/>
    <w:rsid w:val="702520EE"/>
    <w:rsid w:val="703777AC"/>
    <w:rsid w:val="70795456"/>
    <w:rsid w:val="707E2BAC"/>
    <w:rsid w:val="709946EC"/>
    <w:rsid w:val="70FF4497"/>
    <w:rsid w:val="71C9027A"/>
    <w:rsid w:val="724D262A"/>
    <w:rsid w:val="72702455"/>
    <w:rsid w:val="72724CC0"/>
    <w:rsid w:val="728F2E47"/>
    <w:rsid w:val="72973011"/>
    <w:rsid w:val="72CD6505"/>
    <w:rsid w:val="72E25592"/>
    <w:rsid w:val="72E42D1B"/>
    <w:rsid w:val="72EA2DD0"/>
    <w:rsid w:val="730C52E1"/>
    <w:rsid w:val="734F0911"/>
    <w:rsid w:val="736054C4"/>
    <w:rsid w:val="736C572D"/>
    <w:rsid w:val="73A422EB"/>
    <w:rsid w:val="73C80EF6"/>
    <w:rsid w:val="73D74043"/>
    <w:rsid w:val="73E67F55"/>
    <w:rsid w:val="74103E55"/>
    <w:rsid w:val="74456E15"/>
    <w:rsid w:val="745B622A"/>
    <w:rsid w:val="753E2D2E"/>
    <w:rsid w:val="753F2F7D"/>
    <w:rsid w:val="75A40416"/>
    <w:rsid w:val="75A744DB"/>
    <w:rsid w:val="75CD0955"/>
    <w:rsid w:val="75DB13A5"/>
    <w:rsid w:val="75E552E3"/>
    <w:rsid w:val="76190159"/>
    <w:rsid w:val="76346E4E"/>
    <w:rsid w:val="7648538B"/>
    <w:rsid w:val="76531223"/>
    <w:rsid w:val="76640645"/>
    <w:rsid w:val="767E47F6"/>
    <w:rsid w:val="7692158A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3446C7"/>
    <w:rsid w:val="78557FA3"/>
    <w:rsid w:val="78644FBF"/>
    <w:rsid w:val="78680ECD"/>
    <w:rsid w:val="787F150D"/>
    <w:rsid w:val="787F4828"/>
    <w:rsid w:val="7880670B"/>
    <w:rsid w:val="789B60E9"/>
    <w:rsid w:val="78A42633"/>
    <w:rsid w:val="78D82665"/>
    <w:rsid w:val="78EE7F5B"/>
    <w:rsid w:val="78F11CE1"/>
    <w:rsid w:val="78F66955"/>
    <w:rsid w:val="79053EDA"/>
    <w:rsid w:val="79097264"/>
    <w:rsid w:val="791D3993"/>
    <w:rsid w:val="79202162"/>
    <w:rsid w:val="7924138B"/>
    <w:rsid w:val="792B2C95"/>
    <w:rsid w:val="79432371"/>
    <w:rsid w:val="79537777"/>
    <w:rsid w:val="79826449"/>
    <w:rsid w:val="79B751C6"/>
    <w:rsid w:val="79BC4873"/>
    <w:rsid w:val="79D339B9"/>
    <w:rsid w:val="7A006295"/>
    <w:rsid w:val="7A196FEC"/>
    <w:rsid w:val="7A200C95"/>
    <w:rsid w:val="7A531881"/>
    <w:rsid w:val="7A594332"/>
    <w:rsid w:val="7A5B0BA8"/>
    <w:rsid w:val="7A793420"/>
    <w:rsid w:val="7A8564DB"/>
    <w:rsid w:val="7A946C2F"/>
    <w:rsid w:val="7A9A559C"/>
    <w:rsid w:val="7AB76752"/>
    <w:rsid w:val="7AB935F2"/>
    <w:rsid w:val="7AC22B97"/>
    <w:rsid w:val="7ACD6F24"/>
    <w:rsid w:val="7AF6556E"/>
    <w:rsid w:val="7B1F77A4"/>
    <w:rsid w:val="7B292799"/>
    <w:rsid w:val="7B3F5420"/>
    <w:rsid w:val="7BCF2874"/>
    <w:rsid w:val="7C0471A6"/>
    <w:rsid w:val="7C090682"/>
    <w:rsid w:val="7C1816D2"/>
    <w:rsid w:val="7C27141B"/>
    <w:rsid w:val="7C42064D"/>
    <w:rsid w:val="7C6A6CA8"/>
    <w:rsid w:val="7CB31FBB"/>
    <w:rsid w:val="7CEC5EE7"/>
    <w:rsid w:val="7CF04E00"/>
    <w:rsid w:val="7D0B459E"/>
    <w:rsid w:val="7D2703B4"/>
    <w:rsid w:val="7D41026F"/>
    <w:rsid w:val="7D59343F"/>
    <w:rsid w:val="7D67119E"/>
    <w:rsid w:val="7D6C098F"/>
    <w:rsid w:val="7D6D2474"/>
    <w:rsid w:val="7DA65D72"/>
    <w:rsid w:val="7DE208A3"/>
    <w:rsid w:val="7DFE7906"/>
    <w:rsid w:val="7E0A78B3"/>
    <w:rsid w:val="7E2912F3"/>
    <w:rsid w:val="7E581D65"/>
    <w:rsid w:val="7E6305EF"/>
    <w:rsid w:val="7E8D50F9"/>
    <w:rsid w:val="7EBA6AA6"/>
    <w:rsid w:val="7ED713AA"/>
    <w:rsid w:val="7EDA5201"/>
    <w:rsid w:val="7EE7304B"/>
    <w:rsid w:val="7EEE63E6"/>
    <w:rsid w:val="7F3205C6"/>
    <w:rsid w:val="7F541664"/>
    <w:rsid w:val="7F5737FE"/>
    <w:rsid w:val="7F697999"/>
    <w:rsid w:val="7F9026D0"/>
    <w:rsid w:val="7F984417"/>
    <w:rsid w:val="7FBB5651"/>
    <w:rsid w:val="7FDB730C"/>
    <w:rsid w:val="7FDC7239"/>
    <w:rsid w:val="7FE41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7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1035</Words>
  <Characters>5900</Characters>
  <Lines>49</Lines>
  <Paragraphs>13</Paragraphs>
  <TotalTime>4</TotalTime>
  <ScaleCrop>false</ScaleCrop>
  <LinksUpToDate>false</LinksUpToDate>
  <CharactersWithSpaces>6922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2020-10-18T07:46:00Z</dcterms:created>
  <dc:creator>微软用户</dc:creator>
  <cp:lastModifiedBy>肖新龙</cp:lastModifiedBy>
  <dcterms:modified xsi:type="dcterms:W3CDTF">2022-10-08T07:56:47Z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18BF3208F4304FA3A178AFDC0D08FE43</vt:lpwstr>
  </property>
</Properties>
</file>