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市场部    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eastAsia="zh-CN"/>
              </w:rPr>
              <w:t>陈惠贤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任文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郭力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2022年9月22日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Q5.3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组织的岗位、职责的权限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、6.2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质量、目标及其实现的策划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8.2.1总则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8.2.2产品要求的确定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8.2.3产品有关要求的评审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8.2.4产品有关要求的更改控制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外部提供过程、产品和服务的控制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8.4.1总则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8.4.2外部供方的控制类型和程度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8.4.3提供给外部供方的信息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8.5.1生产和服务提供的控制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8.5.3顾客或外部供方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财产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交付后活动、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顾客满意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部门主要职责如下：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.正确掌握市场，定期组织市场调研，收集市场信息，分析市场动向、特点和发展趋势。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收集有关产品的信息，掌握产品市场的动态，分析销售和市场竞争发展状况，提出改进方案和措施。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负责收集、整理、归纳客户资料，对客户群进行透彻的分析。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.确定销售策略，建立销售目标，制定销售计划。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.监督计划的执行情况，将销售进展情况及时反馈给总经理。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.制定销售管理制度、工作程序，并监督贯彻实施。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.选择优质供应商，建立合格供方名录。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.与供应商沟通采购信息，编制采购计划，及时采购合格产品。</w:t>
            </w:r>
          </w:p>
          <w:p>
            <w:pPr>
              <w:spacing w:line="360" w:lineRule="auto"/>
              <w:ind w:left="422" w:leftChars="201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部门负责人熟悉本部门职责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60" w:lineRule="auto"/>
              <w:ind w:firstLine="102" w:firstLineChars="4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分解目标及考核情况实际完成（</w:t>
            </w: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—20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考核）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1、顾客满意率≧90分      92.5分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2、合同评审率100％        100%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3、合同履约率≥98%        100%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4、供应商评审合格率100%  100%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日质量目标考核表完成情况：均完成。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产品和服务的要求确定、评审和更改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8.2.1总则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8.2.4产品有关要求的更改控制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color w:val="auto"/>
                <w:sz w:val="21"/>
                <w:szCs w:val="21"/>
              </w:rPr>
              <w:t>经常对顾客进行走访，了解顾客的意见。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售前：联系用户、了解相关信息等，与顾客签订合同或订单；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售中：组织供方按期交付，解决用户对进度、质量等关切问题；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售后：与客户保持密切沟通，不定期回访用户，并对顾客反馈问题解答。体系建立实施至今未发生顾客投诉。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color w:val="auto"/>
                <w:sz w:val="21"/>
                <w:szCs w:val="21"/>
              </w:rPr>
              <w:t>获取供应、销售信息，与客户洽谈，在签订合同前对客户要求进行评审，确认可以满足行业有关法律、法规要求和公司规定及客户要求时，签订合同，根据销售合同为客户提供服务。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销售合同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客户：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兰州理工大学      合同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编号：HT-LUTX2022-021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货物名称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规格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数量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伺服阀信号放大和调理器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1"/>
                <w:szCs w:val="21"/>
              </w:rPr>
              <w:t>HY001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伺服阀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HY-761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动态缸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XNSV40/20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接线盒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PCL-1245L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接线盒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NI PCIe-6323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测试软件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HYSV0.1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配套PCI-1245L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配套NIPCIe-6323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编码器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配套PCI-1245L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签订时间：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25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评审内容：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技术质量要求√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生产能力及交货周期√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价格√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付款期限及方式√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评审结论：同意签订合同  批准人：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陈惠贤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日期：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1"/>
                <w:szCs w:val="21"/>
              </w:rPr>
              <w:t>客户：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宁波水艺膜科技发展有限公司 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高压水射流冲击测试装置       型号：SYMTE-01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签订时间：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24，采购编号：XN20220424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评审内容：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技术质量要求√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生产能力及交货周期√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价格√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付款期限及方式√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评审结论：同意签订合同  批准人：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陈惠贤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日期：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pStyle w:val="2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21"/>
                <w:szCs w:val="21"/>
              </w:rPr>
              <w:t>客户：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西安晨曦航空科技股份有限公司     合同编号：SWCF2275406J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阻尼缸、液压油缸等</w:t>
            </w:r>
          </w:p>
          <w:p>
            <w:pPr>
              <w:spacing w:line="360" w:lineRule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签订时间：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上海航新航宇机械技术有限公司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501A-1-027电磁阀开发技术服务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签订时间：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</w:p>
          <w:p>
            <w:pPr>
              <w:pStyle w:val="2"/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又查看了与陕西竞拓智能装备有限公司销售的反馈臂连接销、摇臂连接的合同，实施合同评审，均能有效管理。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公司通过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/>
                <w:color w:val="auto"/>
                <w:sz w:val="21"/>
                <w:szCs w:val="21"/>
              </w:rPr>
              <w:t>及电话等方式与顾客交流，主要进行以下沟通：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、向顾客提供保证产品质量的有关信息，保修及应急措施。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、接受顾客问询、询价、合同的处理。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、根据合同要求进行有关的事宜，对顾客的投诉或意见进行处理和答复。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、合理处理顾客财产，主要是顾客报修产品。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目前沟通渠道畅通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目前无合同更改情况发生。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外部提供过程、产品和服务过程管理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8.4.1总则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供给外部供方的信息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编制的《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外部提供产品、服务和过程控制程序</w:t>
            </w:r>
            <w:r>
              <w:rPr>
                <w:rFonts w:hint="eastAsia"/>
                <w:color w:val="auto"/>
                <w:sz w:val="21"/>
                <w:szCs w:val="21"/>
              </w:rPr>
              <w:t>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负责人讲，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color w:val="auto"/>
                <w:sz w:val="21"/>
                <w:szCs w:val="21"/>
              </w:rPr>
              <w:t>建立合格供方名录，核定《供方评价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/>
                <w:color w:val="auto"/>
                <w:sz w:val="21"/>
                <w:szCs w:val="21"/>
              </w:rPr>
              <w:t>》后，编制《合格供方名单》存档。采购人员应该具备相应能力。采购人员应从《合格供方名录》中选择供方。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提供《合格供方名单》: 主要供应商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家，如下：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供应商名称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</w:rPr>
              <w:t>采购产品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西安航天计量测试研究所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仪器设备检验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陕西戈莱锐机电有限公司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密封件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陕西宏德电子设备有限公司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拔插器、机械加工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陕西航天铝业有限公司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原材料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汉中光建商贸有限公司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金属材料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晋中卓立液压设备有限公司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液压元件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西安宏控电子科技有限公司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电线电缆、金属材料、电工材料、五金交电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 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日对供方的调查及评价。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合格供方</w:t>
            </w:r>
            <w:r>
              <w:rPr>
                <w:rFonts w:hint="eastAsia"/>
                <w:color w:val="auto"/>
                <w:sz w:val="21"/>
                <w:szCs w:val="21"/>
              </w:rPr>
              <w:t>陕西戈莱锐机电有限公司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的评价：评价内容：企业资质、供货能力、产品质量、交货期、价格、售后服务等；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符合相关规定，可继续纳入合格供方。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本公司需求物资的采购信息由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负责，通过签订书面采购订单方式向合格供方进行产品采购。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公司编制了《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外部提供产品、服务和过程控制程序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》，要求采购的材料必须进行检验。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公司对产品外观、型号规格、数量、尺寸、合格证等进行了验收。经询问公司采购产品主要根据需求，根据进货检验记录对相关产品的数量、规格型号等进行检验。抽查验证记录《进货检验记录表》，详见8.6条款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基本符合要求。现场查看其他采购物料均按要求进行验证入库。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公司外部供方的管理基本符合要求。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负责人讲与供方沟通的内容包括：所提供的过程、产品和服务等；采购物资根据签订采购合同进产品的名称、规格、型号、数量等采购信息的确定。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抽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产品购销合同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20220506-2#,供方：</w:t>
            </w:r>
            <w:r>
              <w:rPr>
                <w:rFonts w:hint="eastAsia"/>
                <w:color w:val="auto"/>
                <w:sz w:val="21"/>
                <w:szCs w:val="21"/>
              </w:rPr>
              <w:t>陕西戈莱锐机电有限公司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签订日期：2022.5.6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/>
                <w:color w:val="auto"/>
                <w:sz w:val="21"/>
                <w:szCs w:val="21"/>
              </w:rPr>
              <w:t>产品名称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阻尼缸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抽《商品购销合同》，供方：</w:t>
            </w:r>
            <w:r>
              <w:rPr>
                <w:rFonts w:hint="eastAsia"/>
                <w:color w:val="auto"/>
                <w:sz w:val="21"/>
                <w:szCs w:val="21"/>
              </w:rPr>
              <w:t>晋中卓立液压设备有限公司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，签到日期：2022.4.25</w:t>
            </w: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产品名称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高压水射流冲击测试装置   型号：SYMTE-01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1"/>
                <w:szCs w:val="21"/>
              </w:rPr>
              <w:t>另抽其采购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订</w:t>
            </w:r>
            <w:r>
              <w:rPr>
                <w:rFonts w:hint="eastAsia"/>
                <w:color w:val="auto"/>
                <w:sz w:val="21"/>
                <w:szCs w:val="21"/>
              </w:rPr>
              <w:t>单，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含电子元器件、电子产品等</w:t>
            </w:r>
            <w:r>
              <w:rPr>
                <w:rFonts w:hint="eastAsia"/>
                <w:color w:val="auto"/>
                <w:sz w:val="21"/>
                <w:szCs w:val="21"/>
              </w:rPr>
              <w:t>均保存完好，符合要求。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编制：</w:t>
            </w:r>
            <w:r>
              <w:rPr>
                <w:rFonts w:hint="eastAsia" w:ascii="宋体"/>
                <w:color w:val="auto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陈惠贤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另抽其他材料采购计划单，均保存完好，符合要求。</w:t>
            </w:r>
          </w:p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以来，未出现采购产品有质量不符合的情况。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1"/>
                <w:szCs w:val="21"/>
              </w:rPr>
              <w:t>检验见</w:t>
            </w:r>
            <w:r>
              <w:rPr>
                <w:color w:val="auto"/>
                <w:sz w:val="21"/>
                <w:szCs w:val="21"/>
              </w:rPr>
              <w:t>8.6</w:t>
            </w:r>
            <w:r>
              <w:rPr>
                <w:rFonts w:hint="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default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产品和服务提供的控制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Q:8.5.1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公司产品服务主要为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新能源原动设备、伺服控制机构、液气密元件的销售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基本服务流程：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销售服务流程：洽谈-签约-采购-发货-客户验收-结算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color w:val="auto"/>
                <w:sz w:val="21"/>
                <w:szCs w:val="21"/>
              </w:rPr>
              <w:t>按照策划的流程提供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新能源原动设备、伺服控制机构、液气密元件的销售</w:t>
            </w:r>
            <w:r>
              <w:rPr>
                <w:rFonts w:hint="eastAsia"/>
                <w:color w:val="auto"/>
                <w:sz w:val="21"/>
                <w:szCs w:val="21"/>
              </w:rPr>
              <w:t>。有相关手册、程序文件以及作业文件等，如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营销业务规范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《顾客满意度调查管理规定》、《</w:t>
            </w:r>
            <w:r>
              <w:rPr>
                <w:rFonts w:hint="eastAsia"/>
                <w:color w:val="auto"/>
                <w:sz w:val="21"/>
                <w:szCs w:val="21"/>
              </w:rPr>
              <w:t>产品检验规范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》、《入库单》、《送货单》、《销售服务质量监测记录表》等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查销售合同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订单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报价单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详见8.2条款；查《采购订单》详见8.4条款；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现场查看营销工作情况：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1.下发的作业文件随手可得。规范规定了服务提供特性和验收标准，合同的洽商、评定和签订，售后服务保证，客户投诉的处置以及销售人员的产品知识业务能力的要求。文件可以指导销售过程的进行。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2.资源配置齐备，设施设备可以满足要求。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3.现场查看销售合同都进行了评审，参见8.2</w:t>
            </w:r>
            <w:r>
              <w:rPr>
                <w:rFonts w:hint="eastAsia"/>
                <w:szCs w:val="22"/>
                <w:lang w:val="en-US" w:eastAsia="zh-CN"/>
              </w:rPr>
              <w:t>检查表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4.现场提供有产品检验记录表、发货单，参见8.6</w:t>
            </w:r>
            <w:r>
              <w:rPr>
                <w:rFonts w:hint="eastAsia"/>
                <w:szCs w:val="22"/>
                <w:lang w:val="en-US" w:eastAsia="zh-CN"/>
              </w:rPr>
              <w:t>检查表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5.管理人员以及业务员、质检员、库管员都经过了培训，能力满足要求，无特种作业人员。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6.公司将销售过程定为需要确认的过程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对人员能力、服务方式、顾客反馈等方面进行了确认，能够满足销售服务要求。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7.制定了销售管理制度等，规定了操作的步骤、方法、注意事项等，操作人员直接按要求进行控制，防止人为错误，无叉车等特种设备。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8.通过“营销人员工作监督表”的形式对销售人员进行监督和评价。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color w:val="auto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抽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《销售服务质量监测记录表》，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日期：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对销售人员陈惠贤在销售过程中的服务质量进行了检查，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检查考评涉及内容：包装质量、发货产品规格、数量、销售流程、服务人员态度、售后服务过程等，检查结果符合，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评价人：巴阳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9．产品附有生产厂家、合格证、使用说明书、售后服务卡等，外包装完好。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10．所有的产品都必须经检验合格后方可入库和交付。</w:t>
            </w:r>
            <w:r>
              <w:rPr>
                <w:rFonts w:hint="eastAsia"/>
                <w:szCs w:val="22"/>
                <w:lang w:eastAsia="zh-CN"/>
              </w:rPr>
              <w:t>市场部</w:t>
            </w:r>
            <w:r>
              <w:rPr>
                <w:rFonts w:hint="eastAsia"/>
                <w:szCs w:val="22"/>
              </w:rPr>
              <w:t>负责产品的检验和放行，产品经过检验合格后方可放行和交付，</w:t>
            </w:r>
            <w:r>
              <w:rPr>
                <w:rFonts w:hint="eastAsia"/>
                <w:szCs w:val="22"/>
                <w:lang w:eastAsia="zh-CN"/>
              </w:rPr>
              <w:t>市场部</w:t>
            </w:r>
            <w:r>
              <w:rPr>
                <w:rFonts w:hint="eastAsia"/>
                <w:szCs w:val="22"/>
              </w:rPr>
              <w:t>负责产品交付和交付后活动的实施，并负责联系售后服务。发货前由</w:t>
            </w:r>
            <w:r>
              <w:rPr>
                <w:rFonts w:hint="eastAsia"/>
                <w:szCs w:val="22"/>
                <w:lang w:eastAsia="zh-CN"/>
              </w:rPr>
              <w:t>市场部</w:t>
            </w:r>
            <w:r>
              <w:rPr>
                <w:rFonts w:hint="eastAsia"/>
                <w:szCs w:val="22"/>
              </w:rPr>
              <w:t>开具发货单，随货同行有产品合格证，公司负责联系货运交付到指定地点，经查出库、交付手续齐全。售后服务由</w:t>
            </w:r>
            <w:r>
              <w:rPr>
                <w:rFonts w:hint="eastAsia"/>
                <w:szCs w:val="22"/>
                <w:lang w:eastAsia="zh-CN"/>
              </w:rPr>
              <w:t>市场部</w:t>
            </w:r>
            <w:r>
              <w:rPr>
                <w:rFonts w:hint="eastAsia"/>
                <w:szCs w:val="22"/>
              </w:rPr>
              <w:t>业务员按照售后服务规范执行。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抽查了《发货单》2022.4.28，交付顾客</w:t>
            </w:r>
            <w:r>
              <w:rPr>
                <w:rFonts w:hint="eastAsia" w:cs="Times New Roman"/>
                <w:color w:val="auto"/>
                <w:lang w:val="en-US" w:eastAsia="zh-CN"/>
              </w:rPr>
              <w:t>宁波水艺膜科技发展有限公司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高压水射流冲击测试装置</w:t>
            </w:r>
            <w:r>
              <w:rPr>
                <w:rFonts w:hint="eastAsia"/>
                <w:szCs w:val="22"/>
                <w:lang w:val="en-US" w:eastAsia="zh-CN"/>
              </w:rPr>
              <w:t>，内容包含了：发货企业、发货单号、日期、产品编号、产品名称、数量等信息。顾客签字：赵凯2022.5.15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11. 现场业务员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陈惠贤</w:t>
            </w:r>
            <w:r>
              <w:rPr>
                <w:rFonts w:hint="eastAsia"/>
                <w:szCs w:val="22"/>
              </w:rPr>
              <w:t>在电话联系兰州理工大学交付事宜，接听电话礼仪规范，介绍沟通详实。</w:t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</w:rPr>
              <w:t>组织销售服务过程的控制符合标准规定的要求</w:t>
            </w:r>
            <w:r>
              <w:rPr>
                <w:rFonts w:hint="eastAsia" w:ascii="楷体" w:hAnsi="楷体" w:eastAsia="楷体" w:cs="楷体"/>
                <w:kern w:val="0"/>
                <w:szCs w:val="24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顾客财产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公司的顾客或外部供方的财产主要是客户信息及客户提供的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技术文件</w:t>
            </w:r>
            <w:r>
              <w:rPr>
                <w:rFonts w:hint="eastAsia" w:ascii="宋体" w:hAnsi="宋体" w:cs="宋体"/>
                <w:sz w:val="21"/>
                <w:szCs w:val="21"/>
              </w:rPr>
              <w:t>等，如有丢失、损坏或不适用的情况发生，应由使用部门及时记录在《顾客及外部供方财产表》中，与顾客协商解决。自体系运行以来尚无顾客财产问题记录。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交付后的活动：交付后的活动主要是售后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sz w:val="21"/>
                <w:szCs w:val="21"/>
              </w:rPr>
              <w:t>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体系运行以来尚未发生客户反馈及投诉情况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顾客满意度调查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9.1.2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企业对顾客对产品是否满意的信息进行监视，并编制《顾客满意度调查表》。公司于</w:t>
            </w: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日对主要客户进行了电话问卷调查，分别对产品质量、服务、交货期方面等内容进行调查，客户均对相关内容进行了反馈，从统计数据中可以看出，</w:t>
            </w:r>
            <w:r>
              <w:rPr>
                <w:rFonts w:hint="eastAsia" w:ascii="宋体" w:hAnsi="宋体"/>
                <w:sz w:val="21"/>
                <w:szCs w:val="21"/>
              </w:rPr>
              <w:t>发放调查表共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份，回收调查表共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份</w:t>
            </w:r>
            <w:r>
              <w:rPr>
                <w:rFonts w:hint="eastAsia" w:ascii="仿宋_GB2312" w:eastAsia="仿宋_GB2312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顾客满意度达到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92.5分</w:t>
            </w:r>
            <w:r>
              <w:rPr>
                <w:rFonts w:hint="eastAsia"/>
                <w:sz w:val="21"/>
                <w:szCs w:val="21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1B193"/>
    <w:multiLevelType w:val="singleLevel"/>
    <w:tmpl w:val="EB91B19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2B348A0"/>
    <w:rsid w:val="02ED00CF"/>
    <w:rsid w:val="03683C2A"/>
    <w:rsid w:val="03BE360A"/>
    <w:rsid w:val="041776F3"/>
    <w:rsid w:val="04387860"/>
    <w:rsid w:val="051F1868"/>
    <w:rsid w:val="056C582B"/>
    <w:rsid w:val="06E94E42"/>
    <w:rsid w:val="06F12B09"/>
    <w:rsid w:val="07FF25B7"/>
    <w:rsid w:val="0AD16319"/>
    <w:rsid w:val="0B103C3C"/>
    <w:rsid w:val="0B2923EB"/>
    <w:rsid w:val="0FE13606"/>
    <w:rsid w:val="1009385E"/>
    <w:rsid w:val="10CB2B2E"/>
    <w:rsid w:val="114D3F3A"/>
    <w:rsid w:val="11705158"/>
    <w:rsid w:val="135C4A5C"/>
    <w:rsid w:val="138166F3"/>
    <w:rsid w:val="139B01F6"/>
    <w:rsid w:val="1496079E"/>
    <w:rsid w:val="14D72316"/>
    <w:rsid w:val="14E63DF1"/>
    <w:rsid w:val="159743A0"/>
    <w:rsid w:val="163F7652"/>
    <w:rsid w:val="16C81620"/>
    <w:rsid w:val="16ED6515"/>
    <w:rsid w:val="17B867E4"/>
    <w:rsid w:val="18AE078C"/>
    <w:rsid w:val="19322678"/>
    <w:rsid w:val="196A0064"/>
    <w:rsid w:val="1B09174B"/>
    <w:rsid w:val="1BD14F76"/>
    <w:rsid w:val="1CEE01E7"/>
    <w:rsid w:val="1D003010"/>
    <w:rsid w:val="1D557E31"/>
    <w:rsid w:val="1E51534F"/>
    <w:rsid w:val="1EC023AD"/>
    <w:rsid w:val="21533CD8"/>
    <w:rsid w:val="21554FA0"/>
    <w:rsid w:val="21BA243D"/>
    <w:rsid w:val="21EA73C7"/>
    <w:rsid w:val="22EC7CFD"/>
    <w:rsid w:val="23E6708E"/>
    <w:rsid w:val="254A28B0"/>
    <w:rsid w:val="258401FB"/>
    <w:rsid w:val="260E0837"/>
    <w:rsid w:val="27861120"/>
    <w:rsid w:val="279119B9"/>
    <w:rsid w:val="27EB05C2"/>
    <w:rsid w:val="280451E0"/>
    <w:rsid w:val="281D2E9B"/>
    <w:rsid w:val="282206FB"/>
    <w:rsid w:val="288129C2"/>
    <w:rsid w:val="28831B95"/>
    <w:rsid w:val="2B216E5F"/>
    <w:rsid w:val="2C5F4B58"/>
    <w:rsid w:val="2C8E6106"/>
    <w:rsid w:val="2C9F55DE"/>
    <w:rsid w:val="2CB30F3C"/>
    <w:rsid w:val="2CC56979"/>
    <w:rsid w:val="30665E11"/>
    <w:rsid w:val="31137B7F"/>
    <w:rsid w:val="340B1626"/>
    <w:rsid w:val="349E3302"/>
    <w:rsid w:val="3515661D"/>
    <w:rsid w:val="359A4A0B"/>
    <w:rsid w:val="36424EDE"/>
    <w:rsid w:val="36486A13"/>
    <w:rsid w:val="37500E07"/>
    <w:rsid w:val="3ACA604A"/>
    <w:rsid w:val="3C4E12AC"/>
    <w:rsid w:val="3E073CBE"/>
    <w:rsid w:val="3E6E2FE8"/>
    <w:rsid w:val="3E734022"/>
    <w:rsid w:val="3E8E515A"/>
    <w:rsid w:val="4181460D"/>
    <w:rsid w:val="419C5B76"/>
    <w:rsid w:val="42A465EC"/>
    <w:rsid w:val="43461B7A"/>
    <w:rsid w:val="44304169"/>
    <w:rsid w:val="45034BA2"/>
    <w:rsid w:val="461D3330"/>
    <w:rsid w:val="47EE09DB"/>
    <w:rsid w:val="4A643F76"/>
    <w:rsid w:val="4B9868B7"/>
    <w:rsid w:val="4C7B3D97"/>
    <w:rsid w:val="4D1E6894"/>
    <w:rsid w:val="4E7F74AD"/>
    <w:rsid w:val="4EBE7F2F"/>
    <w:rsid w:val="4F1656C9"/>
    <w:rsid w:val="543A3B58"/>
    <w:rsid w:val="546D2B33"/>
    <w:rsid w:val="54DB6F28"/>
    <w:rsid w:val="55BB2D17"/>
    <w:rsid w:val="56184260"/>
    <w:rsid w:val="565B3EB4"/>
    <w:rsid w:val="56726B5A"/>
    <w:rsid w:val="56D36126"/>
    <w:rsid w:val="57551907"/>
    <w:rsid w:val="58521A22"/>
    <w:rsid w:val="588F4BF8"/>
    <w:rsid w:val="5AC621DF"/>
    <w:rsid w:val="5B14316E"/>
    <w:rsid w:val="5B8147BE"/>
    <w:rsid w:val="5C6C76F3"/>
    <w:rsid w:val="5D711B39"/>
    <w:rsid w:val="5EFB03E4"/>
    <w:rsid w:val="5F013B3E"/>
    <w:rsid w:val="60FA0D27"/>
    <w:rsid w:val="61160CEF"/>
    <w:rsid w:val="618C6989"/>
    <w:rsid w:val="6260512D"/>
    <w:rsid w:val="630654DA"/>
    <w:rsid w:val="63DA3640"/>
    <w:rsid w:val="64290181"/>
    <w:rsid w:val="64C82AFD"/>
    <w:rsid w:val="65CE2F52"/>
    <w:rsid w:val="67154518"/>
    <w:rsid w:val="68602915"/>
    <w:rsid w:val="68E436D4"/>
    <w:rsid w:val="69026F9B"/>
    <w:rsid w:val="6CFC757E"/>
    <w:rsid w:val="6D2A4E78"/>
    <w:rsid w:val="6DEE5CE3"/>
    <w:rsid w:val="6E5805C6"/>
    <w:rsid w:val="6F4A1488"/>
    <w:rsid w:val="6FA6756E"/>
    <w:rsid w:val="7075029F"/>
    <w:rsid w:val="718B3719"/>
    <w:rsid w:val="72422154"/>
    <w:rsid w:val="72892F76"/>
    <w:rsid w:val="74B33C36"/>
    <w:rsid w:val="752A4BEC"/>
    <w:rsid w:val="768C191D"/>
    <w:rsid w:val="769E7B7B"/>
    <w:rsid w:val="77E771A8"/>
    <w:rsid w:val="78AD7B3E"/>
    <w:rsid w:val="799D05BD"/>
    <w:rsid w:val="7A8F3E08"/>
    <w:rsid w:val="7DD56214"/>
    <w:rsid w:val="7E956338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2022-10-19T04:17:27Z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1479322A1B3742748A7240FC23AF7FE2</vt:lpwstr>
  </property>
</Properties>
</file>