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35"/>
        <w:gridCol w:w="183"/>
        <w:gridCol w:w="581"/>
        <w:gridCol w:w="121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河北省任丘市麻家坞镇刘家泊村村西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河北省任丘市麻家坞镇刘家泊村村西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何玉峰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18932772229</w:t>
            </w:r>
            <w:bookmarkEnd w:id="4"/>
          </w:p>
        </w:tc>
        <w:tc>
          <w:tcPr>
            <w:tcW w:w="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合同编号"/>
            <w:r>
              <w:rPr>
                <w:sz w:val="21"/>
                <w:szCs w:val="21"/>
              </w:rPr>
              <w:t>0992-2021-Q-2022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Q监督审核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57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范围"/>
            <w:r>
              <w:rPr>
                <w:sz w:val="21"/>
                <w:szCs w:val="21"/>
              </w:rPr>
              <w:t>Q：</w:t>
            </w:r>
            <w:bookmarkStart w:id="26" w:name="_GoBack"/>
            <w:r>
              <w:rPr>
                <w:sz w:val="21"/>
                <w:szCs w:val="21"/>
              </w:rPr>
              <w:t>铁构件（横担、抱箍、拉线棒）、电线电缆</w:t>
            </w:r>
            <w:bookmarkEnd w:id="26"/>
            <w:r>
              <w:rPr>
                <w:sz w:val="21"/>
                <w:szCs w:val="21"/>
              </w:rPr>
              <w:t>（资质许可范围内）的生产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O：铁构件（横担、抱箍、拉线棒）、电线电缆（资质许可范围内）的生产所涉及场所的相关职业健康安全管理活动</w:t>
            </w:r>
            <w:bookmarkEnd w:id="16"/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Q：17.12.05;19.11.02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O：17.12.05;19.11.02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C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 xml:space="preserve">2022年09月21日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午至2022年09月2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Q:17.12.05,19.11.02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O:17.12.05,19.11.02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417830</wp:posOffset>
                  </wp:positionV>
                  <wp:extent cx="1078865" cy="519430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2022.9.20</w:t>
            </w:r>
          </w:p>
        </w:tc>
      </w:tr>
    </w:tbl>
    <w:p/>
    <w:p/>
    <w:p>
      <w:pPr>
        <w:spacing w:line="300" w:lineRule="exact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2022.9.21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上次</w:t>
            </w:r>
            <w:r>
              <w:rPr>
                <w:rFonts w:hint="eastAsia"/>
                <w:sz w:val="21"/>
                <w:szCs w:val="21"/>
              </w:rPr>
              <w:t>不符合的验证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O一阶段问题验证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视频、文件传输、网站查询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视频、文件传输、网站查询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2022.9.22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岗位、职责权限；目标、指标管理方案；危险源识别评价；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能力、培训、意识；沟通；员工的参与和协商；文件化信息；</w:t>
            </w:r>
            <w:r>
              <w:rPr>
                <w:rFonts w:hint="eastAsia"/>
                <w:color w:val="auto"/>
                <w:sz w:val="21"/>
                <w:szCs w:val="21"/>
              </w:rPr>
              <w:t>运行策划和控制；应急准备和响应；法律法规要求；绩效的监视和测量；合规性评价；内部审核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5.3/6.2/7.2/7.3/7.4/7.5/9.2/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O5.3/5.4/6.2/</w:t>
            </w:r>
            <w:r>
              <w:rPr>
                <w:rFonts w:hint="eastAsia"/>
                <w:color w:val="auto"/>
                <w:sz w:val="21"/>
                <w:szCs w:val="21"/>
              </w:rPr>
              <w:t>6.1.2/6.1.3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8.1/8.2/9.1/10.2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视频、文件传输、网站查询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视频、文件传输、网站查询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A024349"/>
    <w:rsid w:val="3E7F36D7"/>
    <w:rsid w:val="49F46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2022-09-29T08:11:59Z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