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温州福鑫仪表有限公司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0122-2019-2022</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0122-2019-2022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温州福鑫仪表有限公司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裴举胜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ISC-2019-0471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2024-08-21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2022年09月21日 上午</w:t>
            </w:r>
            <w:bookmarkEnd w:id="9"/>
            <w:r>
              <w:rPr>
                <w:rFonts w:hint="eastAsia" w:cs="宋体" w:asciiTheme="minorEastAsia" w:hAnsiTheme="minorEastAsia"/>
                <w:kern w:val="0"/>
                <w:szCs w:val="21"/>
                <w:lang w:val="en-US" w:eastAsia="zh-CN"/>
              </w:rPr>
              <w:t>至09月22日上午。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default" w:ascii="宋体" w:hAnsi="宋体"/>
                <w:color w:val="FF0000"/>
                <w:szCs w:val="21"/>
                <w:lang w:val="en-US" w:eastAsia="zh-CN"/>
              </w:rPr>
            </w:pPr>
            <w:r>
              <w:rPr>
                <w:rFonts w:hint="eastAsia" w:ascii="宋体" w:hAnsi="宋体"/>
                <w:color w:val="auto"/>
                <w:szCs w:val="21"/>
                <w:lang w:val="en-US" w:eastAsia="zh-CN"/>
              </w:rPr>
              <w:t>管理层/管理者代表、办公室、质检科、营销科、采购科</w:t>
            </w:r>
            <w:r>
              <w:rPr>
                <w:rFonts w:hint="eastAsia" w:eastAsia="新宋体"/>
                <w:color w:val="auto"/>
                <w:szCs w:val="21"/>
                <w:lang w:val="en-US" w:eastAsia="zh-CN"/>
              </w:rPr>
              <w:t>、生技科（生产车间）</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1.一年内违反法律法规或重大事故的情况：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2.1公司于2022年4月2日组织了公司测量管理体系内审，内审分2个组，对公司5个部门和车间进行了审核，，发现1个不符合项，责任单位进行了原因分析，制定了纠正预防措施，积极组织整改，不符合项已整改完成。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4月15日开展了单体系管理评审，会议由公司董事长夏主持，由管理者代表汇报了体系运行情况。其他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流量测控装置测量误差检验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a)计量要求的导出和验证：查流量测控装置测量误差检验测量过程，计量要求导出方法正确，验证满足测量过程要求。祥见附件《计量要求导出及验证记录表》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b)测量不确定评定：查流量测控装置测量误差检验测量过程，测量不确定度评定方法正确。祥见附件《测量不确定度评定》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c)有效性确认：查流量测控装置测量误差检验测量过程有效性确认，满足要求。祥见附件《测量过程有效性确认》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d)测量过程的控制：查流量测控装置测量误差检验测量过程，编制了控制规范，对测量人员、测量设备、测量环境进行控制，满足要求。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e)测量过程的监视：查流量测控装置测量误差检验测量过程，采用统计技术进行控制和监视测量过程。祥见《流量测控装置测量误差检验测量过程监视记录表及控制图》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质检科负责组织委外检定/校准。公司测量设备委托浙江省计量科学研究院、湖南航测检测技术有限公司、东莞市帝恩检测有限公司等机构检定/校准。抽查6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4.能源管理情况：企业主要消耗电能、水。2021年1月-2021年12月消耗电量60000kWh，水550t，企业不是重点能耗单位。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去年再认证审核未发现不符合项。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公司制定了5项质量目标，质量目标有具体考核指标可测量，并分解到各部门，经统计2022年1月至6月质量目标全部完成。企业测量体系进一步满足顾客、质量、服务等方面的要求，符合GB/T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C00000"/>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企业营业执照未发生变更。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产品的销售及售后：抽查《工业品买卖合同》，合同编号：20220720,签订时间2022年7月20日。经确认企业对应的产品生产过程涉及有对应的测量过程和测量设备，产品生产及售后服务测量设备的配备满足该合同的产品生产和检验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9月21日上午至9月22日上午，对温州福鑫仪表有限公司监督审核。审核过程中，因2022年9月21日下午接到瑞安市防疫部门电话通知我：由于我是从上海青浦区来温州福鑫仪表有限公司审核，根据瑞安市防疫需要，要求我必须于2022年9月21日晚上20点前离开瑞安。本人特请示公司审核部，并征得企业的同意，对本次审核计划进行调整，将2022年9月22日上午的审核计划的审核方式由原现场审核调整为远程审核，并对审核计划书重新修改确认（见:审核计划偏离说明），通过审核，验证了公司在去年一年内，测量管理体系运作情况，公司领导重视体系</w:t>
      </w:r>
      <w:bookmarkStart w:id="11" w:name="_GoBack"/>
      <w:bookmarkEnd w:id="11"/>
      <w:r>
        <w:rPr>
          <w:rFonts w:hint="eastAsia" w:ascii="宋体" w:hAnsi="宋体" w:eastAsia="宋体" w:cs="宋体"/>
          <w:bCs/>
          <w:color w:val="auto"/>
          <w:kern w:val="0"/>
          <w:sz w:val="24"/>
          <w:szCs w:val="24"/>
          <w:lang w:val="en-US" w:eastAsia="zh-CN"/>
        </w:rPr>
        <w:t>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温州福鑫仪表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6432" behindDoc="0" locked="0" layoutInCell="1" allowOverlap="1">
            <wp:simplePos x="0" y="0"/>
            <wp:positionH relativeFrom="column">
              <wp:posOffset>1520825</wp:posOffset>
            </wp:positionH>
            <wp:positionV relativeFrom="paragraph">
              <wp:posOffset>254635</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2022年9月22日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2481A"/>
    <w:rsid w:val="05CB745C"/>
    <w:rsid w:val="0E322767"/>
    <w:rsid w:val="26061553"/>
    <w:rsid w:val="432E1678"/>
    <w:rsid w:val="4E155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6</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2022-09-22T14:03:25Z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