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销售部</w:t>
            </w:r>
            <w:r>
              <w:rPr>
                <w:rFonts w:hint="eastAsia" w:ascii="楷体" w:hAnsi="楷体" w:eastAsia="楷体"/>
              </w:rPr>
              <w:t xml:space="preserve">        主管领导：</w:t>
            </w:r>
            <w:r>
              <w:rPr>
                <w:rFonts w:hint="eastAsia" w:ascii="楷体" w:hAnsi="楷体" w:eastAsia="楷体"/>
                <w:lang w:eastAsia="zh-CN"/>
              </w:rPr>
              <w:t>金增郎</w:t>
            </w:r>
            <w:r>
              <w:rPr>
                <w:rFonts w:hint="eastAsia" w:ascii="楷体" w:hAnsi="楷体" w:eastAsia="楷体"/>
              </w:rPr>
              <w:t xml:space="preserve">    陪同人员：</w:t>
            </w:r>
            <w:bookmarkStart w:id="0" w:name="联系人"/>
            <w:r>
              <w:rPr>
                <w:rFonts w:hint="eastAsia" w:ascii="楷体" w:hAnsi="楷体" w:eastAsia="楷体"/>
              </w:rPr>
              <w:t>应通云</w:t>
            </w:r>
            <w:bookmarkEnd w:id="0"/>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w:t>
            </w:r>
            <w:r>
              <w:rPr>
                <w:rFonts w:hint="eastAsia" w:cs="Times New Roman"/>
                <w:b/>
                <w:kern w:val="2"/>
                <w:sz w:val="21"/>
                <w:szCs w:val="21"/>
                <w:lang w:val="en-US" w:eastAsia="zh-CN" w:bidi="ar-SA"/>
              </w:rPr>
              <w:t>10</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07</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eastAsia" w:ascii="楷体" w:hAnsi="楷体" w:eastAsia="楷体"/>
                <w:lang w:val="de-DE"/>
              </w:rPr>
            </w:pPr>
            <w:r>
              <w:rPr>
                <w:rFonts w:hint="eastAsia" w:ascii="楷体" w:hAnsi="楷体" w:eastAsia="楷体"/>
              </w:rPr>
              <w:t>审核条款：</w:t>
            </w:r>
            <w:r>
              <w:rPr>
                <w:rFonts w:hint="eastAsia" w:ascii="楷体" w:hAnsi="楷体" w:eastAsia="楷体"/>
                <w:lang w:val="de-DE"/>
              </w:rPr>
              <w:t>QMS-2015</w:t>
            </w:r>
          </w:p>
          <w:p>
            <w:pPr>
              <w:rPr>
                <w:rFonts w:hint="eastAsia" w:ascii="楷体" w:hAnsi="楷体" w:eastAsia="楷体"/>
              </w:rPr>
            </w:pPr>
            <w:r>
              <w:rPr>
                <w:rFonts w:hint="eastAsia" w:ascii="楷体" w:hAnsi="楷体" w:eastAsia="楷体"/>
              </w:rPr>
              <w:t>5.3岗位/职责 /权限；6.2质量目标及其实现的策划； 8.2产品和服务的要求；8.5.3顾客或外部供方的财产；8.5.5交付后的活动；8.5.6更改控制； 9.1.2顾客满意；</w:t>
            </w:r>
          </w:p>
          <w:p>
            <w:pPr>
              <w:rPr>
                <w:rFonts w:hint="eastAsia" w:ascii="楷体" w:hAnsi="楷体" w:eastAsia="楷体"/>
                <w:lang w:val="de-DE"/>
              </w:rPr>
            </w:pPr>
            <w:r>
              <w:rPr>
                <w:rFonts w:hint="eastAsia" w:ascii="楷体" w:hAnsi="楷体" w:eastAsia="楷体"/>
                <w:lang w:val="de-DE"/>
              </w:rPr>
              <w:t xml:space="preserve">EMS-2015 </w:t>
            </w:r>
          </w:p>
          <w:p>
            <w:pPr>
              <w:rPr>
                <w:rFonts w:hint="eastAsia" w:ascii="楷体" w:hAnsi="楷体" w:eastAsia="楷体"/>
              </w:rPr>
            </w:pPr>
            <w:r>
              <w:rPr>
                <w:rFonts w:hint="eastAsia" w:ascii="楷体" w:hAnsi="楷体" w:eastAsia="楷体"/>
              </w:rPr>
              <w:t>5.3组织的角色、职责和权限、6.1.2环境因素；6.2目标及其达成的策划；7.4沟通；8.1运行策划和控制；8.2应急准备和响应</w:t>
            </w:r>
          </w:p>
          <w:p>
            <w:pPr>
              <w:rPr>
                <w:rFonts w:hint="eastAsia" w:ascii="楷体" w:hAnsi="楷体" w:eastAsia="楷体"/>
              </w:rPr>
            </w:pPr>
            <w:r>
              <w:rPr>
                <w:rFonts w:hint="eastAsia" w:ascii="楷体" w:hAnsi="楷体" w:eastAsia="楷体"/>
                <w:lang w:val="de-DE"/>
              </w:rPr>
              <w:t>ISO 45001：2018</w:t>
            </w:r>
          </w:p>
          <w:p>
            <w:pPr>
              <w:rPr>
                <w:rFonts w:ascii="楷体" w:hAnsi="楷体" w:eastAsia="楷体"/>
              </w:rPr>
            </w:pPr>
            <w:r>
              <w:rPr>
                <w:rFonts w:hint="eastAsia" w:ascii="楷体" w:hAnsi="楷体" w:eastAsia="楷体"/>
              </w:rPr>
              <w:t>5.3组织的角色、职责和权限；6.1.2危险源辨识和职业安全风险评价；6.2目标及其实现的策划；8.1运行策划和控制；8.2应急准备和响应；</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销售部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销售部</w:t>
            </w:r>
            <w:r>
              <w:rPr>
                <w:rFonts w:hint="eastAsia" w:ascii="楷体" w:hAnsi="楷体" w:eastAsia="楷体"/>
              </w:rPr>
              <w:t>部长：</w:t>
            </w:r>
            <w:r>
              <w:rPr>
                <w:rFonts w:hint="eastAsia" w:ascii="楷体" w:hAnsi="楷体" w:eastAsia="楷体"/>
                <w:lang w:eastAsia="zh-CN"/>
              </w:rPr>
              <w:t>金增郎</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销售部</w:t>
            </w:r>
            <w:r>
              <w:rPr>
                <w:rFonts w:hint="eastAsia" w:ascii="楷体" w:hAnsi="楷体" w:eastAsia="楷体"/>
              </w:rPr>
              <w:t>的主要职责有：</w:t>
            </w:r>
          </w:p>
          <w:p>
            <w:pPr>
              <w:rPr>
                <w:rFonts w:hint="eastAsia" w:ascii="楷体" w:hAnsi="楷体" w:eastAsia="楷体"/>
              </w:rPr>
            </w:pPr>
            <w:r>
              <w:rPr>
                <w:rFonts w:hint="eastAsia" w:ascii="楷体" w:hAnsi="楷体" w:eastAsia="楷体"/>
              </w:rPr>
              <w:t>职责和权限：1、负责与产品和服务有关的要求的确定；组织编制合同文件及时与顾客联系等；</w:t>
            </w:r>
          </w:p>
          <w:p>
            <w:pPr>
              <w:rPr>
                <w:rFonts w:hint="eastAsia" w:ascii="楷体" w:hAnsi="楷体" w:eastAsia="楷体"/>
              </w:rPr>
            </w:pPr>
            <w:r>
              <w:rPr>
                <w:rFonts w:hint="eastAsia" w:ascii="楷体" w:hAnsi="楷体" w:eastAsia="楷体"/>
              </w:rPr>
              <w:t>2、负责与产品和服务有关的要求的评审等；</w:t>
            </w:r>
          </w:p>
          <w:p>
            <w:pPr>
              <w:rPr>
                <w:rFonts w:hint="eastAsia" w:ascii="楷体" w:hAnsi="楷体" w:eastAsia="楷体"/>
              </w:rPr>
            </w:pPr>
            <w:r>
              <w:rPr>
                <w:rFonts w:hint="eastAsia" w:ascii="楷体" w:hAnsi="楷体" w:eastAsia="楷体"/>
              </w:rPr>
              <w:t>3、负责市场调查，信息收集、产品和服务工作等；</w:t>
            </w:r>
          </w:p>
          <w:p>
            <w:pPr>
              <w:rPr>
                <w:rFonts w:hint="eastAsia" w:ascii="楷体" w:hAnsi="楷体" w:eastAsia="楷体"/>
              </w:rPr>
            </w:pPr>
            <w:r>
              <w:rPr>
                <w:rFonts w:hint="eastAsia" w:ascii="楷体" w:hAnsi="楷体" w:eastAsia="楷体"/>
              </w:rPr>
              <w:t>4、负责实施售后产品工作，满意度调查及处理顾客的投诉；</w:t>
            </w:r>
          </w:p>
          <w:p>
            <w:pPr>
              <w:rPr>
                <w:rFonts w:hint="eastAsia" w:ascii="楷体" w:hAnsi="楷体" w:eastAsia="楷体"/>
              </w:rPr>
            </w:pPr>
            <w:r>
              <w:rPr>
                <w:rFonts w:hint="eastAsia" w:ascii="楷体" w:hAnsi="楷体" w:eastAsia="楷体"/>
              </w:rPr>
              <w:t>5、贯彻实施公司的质量、环境和职业健康安全及企业管理方针、目标、指标和管理方案；</w:t>
            </w:r>
          </w:p>
          <w:p>
            <w:pPr>
              <w:rPr>
                <w:rFonts w:hint="eastAsia" w:ascii="楷体" w:hAnsi="楷体" w:eastAsia="楷体"/>
              </w:rPr>
            </w:pPr>
            <w:r>
              <w:rPr>
                <w:rFonts w:hint="eastAsia" w:ascii="楷体" w:hAnsi="楷体" w:eastAsia="楷体"/>
              </w:rPr>
              <w:t>6、对本部门环境因素、危险源进行辨识和评价，制订控制措施；</w:t>
            </w:r>
          </w:p>
          <w:p>
            <w:pPr>
              <w:rPr>
                <w:rFonts w:hint="eastAsia" w:ascii="楷体" w:hAnsi="楷体" w:eastAsia="楷体"/>
              </w:rPr>
            </w:pPr>
            <w:r>
              <w:rPr>
                <w:rFonts w:hint="eastAsia" w:ascii="楷体" w:hAnsi="楷体" w:eastAsia="楷体"/>
              </w:rPr>
              <w:t>7、参与公司组织的应急演练；</w:t>
            </w:r>
          </w:p>
          <w:p>
            <w:pPr>
              <w:rPr>
                <w:rFonts w:hint="eastAsia" w:ascii="楷体" w:hAnsi="楷体" w:eastAsia="楷体"/>
              </w:rPr>
            </w:pPr>
            <w:r>
              <w:rPr>
                <w:rFonts w:hint="eastAsia" w:ascii="楷体" w:hAnsi="楷体" w:eastAsia="楷体"/>
              </w:rPr>
              <w:t>9、对工作场所进行风险控制，保护环境</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金增郎</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组织根据手册第6.1.2条款、《环境因素识别与评价控制程序》要求，由销售部负责指导各部门环境因素的调查、评价、汇总、登记、审定及更新，各部门负责组织实施，销售部负责汇总整理。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登记与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9"/>
              <w:tblW w:w="1027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454"/>
              <w:gridCol w:w="3589"/>
              <w:gridCol w:w="1578"/>
              <w:gridCol w:w="127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3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145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活动点/工序或部位</w:t>
                  </w:r>
                </w:p>
              </w:tc>
              <w:tc>
                <w:tcPr>
                  <w:tcW w:w="15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环境影响</w:t>
                  </w:r>
                </w:p>
              </w:tc>
              <w:tc>
                <w:tcPr>
                  <w:tcW w:w="12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时态/状态</w:t>
                  </w:r>
                </w:p>
              </w:tc>
              <w:tc>
                <w:tcPr>
                  <w:tcW w:w="19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3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145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噪声的排放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车间生产设备发出的噪声</w:t>
                  </w:r>
                </w:p>
              </w:tc>
              <w:tc>
                <w:tcPr>
                  <w:tcW w:w="1578"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影响人体健康、社区居民休息</w:t>
                  </w:r>
                </w:p>
              </w:tc>
              <w:tc>
                <w:tcPr>
                  <w:tcW w:w="1278"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43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45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场内的运输车、工具车等车辆运输作业时的噪声</w:t>
                  </w:r>
                </w:p>
              </w:tc>
              <w:tc>
                <w:tcPr>
                  <w:tcW w:w="1578"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278"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94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43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145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废水的排放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车间清洗和生活污水的排放、水抛废水的排放</w:t>
                  </w:r>
                </w:p>
              </w:tc>
              <w:tc>
                <w:tcPr>
                  <w:tcW w:w="15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水体污染</w:t>
                  </w:r>
                </w:p>
              </w:tc>
              <w:tc>
                <w:tcPr>
                  <w:tcW w:w="12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资源的消耗</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生产用电、水等的消耗，天然气、压缩空气消耗</w:t>
                  </w:r>
                </w:p>
              </w:tc>
              <w:tc>
                <w:tcPr>
                  <w:tcW w:w="1578"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资源消耗</w:t>
                  </w:r>
                </w:p>
              </w:tc>
              <w:tc>
                <w:tcPr>
                  <w:tcW w:w="1278"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办公用电的消耗，水等的消耗</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潜在火灾事故的发生</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办公室的易燃物品管理不慎，吸烟等明火引发的火灾</w:t>
                  </w:r>
                </w:p>
              </w:tc>
              <w:tc>
                <w:tcPr>
                  <w:tcW w:w="15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大气、水体等综合性污染</w:t>
                  </w:r>
                </w:p>
              </w:tc>
              <w:tc>
                <w:tcPr>
                  <w:tcW w:w="12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将来/紧急</w:t>
                  </w:r>
                </w:p>
              </w:tc>
              <w:tc>
                <w:tcPr>
                  <w:tcW w:w="194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车间和仓库包装材料等易燃品管理不慎引发的火灾</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电器短路火灾的发生</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危废弃物的</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设备维修后含油棉纱布、含油配件的处置</w:t>
                  </w:r>
                </w:p>
              </w:tc>
              <w:tc>
                <w:tcPr>
                  <w:tcW w:w="15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危险废弃物的综合性污染</w:t>
                  </w:r>
                </w:p>
              </w:tc>
              <w:tc>
                <w:tcPr>
                  <w:tcW w:w="12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将来/正常</w:t>
                  </w:r>
                </w:p>
              </w:tc>
              <w:tc>
                <w:tcPr>
                  <w:tcW w:w="194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危废：废乳化液、废矿物油的排放</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办公危废：（废电池、废灯管、废硒鼓墨盒）</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一般固废：废边角料、废水抛石子、生活垃圾</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辨识与风险评价控制措施管理程序》要求，由销售部负责编制《危险源辨识和风险评价登记表》，指导各职能部门（基层单位）开展危险、有害因素风险识别、评价，负责各职能部门（基层单位）风险评价记录的审查与控制效果有效性验证。组织有建立、更新《不可接受风险清单》。内容如下：</w:t>
            </w:r>
          </w:p>
          <w:tbl>
            <w:tblPr>
              <w:tblStyle w:val="9"/>
              <w:tblW w:w="1033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2570"/>
              <w:gridCol w:w="2144"/>
              <w:gridCol w:w="2000"/>
              <w:gridCol w:w="28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78" w:type="dxa"/>
                  <w:vAlign w:val="center"/>
                </w:tcPr>
                <w:p>
                  <w:pPr>
                    <w:jc w:val="center"/>
                    <w:rPr>
                      <w:rFonts w:cs="黑体" w:asciiTheme="minorEastAsia" w:hAnsiTheme="minorEastAsia" w:eastAsiaTheme="minorEastAsia"/>
                      <w:b/>
                      <w:spacing w:val="-20"/>
                      <w:szCs w:val="21"/>
                    </w:rPr>
                  </w:pPr>
                  <w:r>
                    <w:rPr>
                      <w:rFonts w:hint="eastAsia" w:cs="黑体" w:asciiTheme="minorEastAsia" w:hAnsiTheme="minorEastAsia" w:eastAsiaTheme="minorEastAsia"/>
                      <w:b/>
                      <w:spacing w:val="-20"/>
                      <w:szCs w:val="21"/>
                    </w:rPr>
                    <w:t>序号</w:t>
                  </w:r>
                </w:p>
              </w:tc>
              <w:tc>
                <w:tcPr>
                  <w:tcW w:w="2570"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活动点/工序/部位</w:t>
                  </w:r>
                </w:p>
              </w:tc>
              <w:tc>
                <w:tcPr>
                  <w:tcW w:w="21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潜在的危险因素</w:t>
                  </w:r>
                </w:p>
              </w:tc>
              <w:tc>
                <w:tcPr>
                  <w:tcW w:w="2000" w:type="dxa"/>
                  <w:vAlign w:val="center"/>
                </w:tcPr>
                <w:p>
                  <w:pPr>
                    <w:jc w:val="center"/>
                    <w:rPr>
                      <w:rFonts w:cs="黑体" w:asciiTheme="minorEastAsia" w:hAnsiTheme="minorEastAsia" w:eastAsiaTheme="minorEastAsia"/>
                      <w:b/>
                      <w:caps/>
                      <w:szCs w:val="21"/>
                    </w:rPr>
                  </w:pPr>
                  <w:r>
                    <w:rPr>
                      <w:rFonts w:hint="eastAsia" w:cs="黑体" w:asciiTheme="minorEastAsia" w:hAnsiTheme="minorEastAsia" w:eastAsiaTheme="minorEastAsia"/>
                      <w:b/>
                      <w:caps/>
                      <w:szCs w:val="21"/>
                    </w:rPr>
                    <w:t>可能导致的结果</w:t>
                  </w:r>
                </w:p>
              </w:tc>
              <w:tc>
                <w:tcPr>
                  <w:tcW w:w="28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257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办公场所、车间、仓库等区域的易燃品的堆放</w:t>
                  </w:r>
                </w:p>
              </w:tc>
              <w:tc>
                <w:tcPr>
                  <w:tcW w:w="21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出现明火引起的火灾</w:t>
                  </w:r>
                </w:p>
              </w:tc>
              <w:tc>
                <w:tcPr>
                  <w:tcW w:w="200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车间生产、物资装卸及运输等作业不当</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引起人员机械等碰撞</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压力容器设备</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设备老化或操作不当发生爆炸</w:t>
                  </w:r>
                </w:p>
              </w:tc>
              <w:tc>
                <w:tcPr>
                  <w:tcW w:w="200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生产和办公用电</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设备损坏，线路老化，电路设置不符合要求</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人员触电，火灾事故等</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生产车间</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噪声伤害、机械设备操作不当造成机械伤害</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6</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职业病的发生</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传染病的传播</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1.规范操作，佩戴防护用具</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2.定期进行体检</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3.制定应急预案，全员进行安全知识培训，提高自我防护意识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7</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生产线员工、员工上下班、业务员出差</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高温中暑、交通意外</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做好防护和应急响应工作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8</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台风等自然灾害</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自然灾害紧急情况</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做好防护和应急响应工作</w:t>
                  </w: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销售部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楷体" w:hAnsi="楷体" w:eastAsia="楷体"/>
              </w:rPr>
            </w:pPr>
            <w:r>
              <w:rPr>
                <w:rFonts w:hint="eastAsia" w:ascii="楷体" w:hAnsi="楷体" w:eastAsia="楷体"/>
                <w:lang w:eastAsia="zh-CN"/>
              </w:rPr>
              <w:t>人事部</w:t>
            </w:r>
            <w:r>
              <w:rPr>
                <w:rFonts w:ascii="楷体" w:hAnsi="楷体" w:eastAsia="楷体"/>
              </w:rPr>
              <w:t>的</w:t>
            </w:r>
            <w:r>
              <w:rPr>
                <w:rFonts w:hint="eastAsia" w:ascii="楷体" w:hAnsi="楷体" w:eastAsia="楷体"/>
              </w:rPr>
              <w:t>质量目标及完成情况</w:t>
            </w:r>
          </w:p>
          <w:p>
            <w:pPr>
              <w:rPr>
                <w:rFonts w:ascii="楷体" w:hAnsi="楷体" w:eastAsia="楷体"/>
              </w:rPr>
            </w:pPr>
          </w:p>
        </w:tc>
        <w:tc>
          <w:tcPr>
            <w:tcW w:w="960" w:type="dxa"/>
            <w:vAlign w:val="top"/>
          </w:tcPr>
          <w:p>
            <w:pPr>
              <w:rPr>
                <w:rFonts w:ascii="楷体" w:hAnsi="楷体" w:eastAsia="楷体"/>
              </w:rPr>
            </w:pPr>
            <w:r>
              <w:rPr>
                <w:rFonts w:hint="eastAsia" w:ascii="楷体" w:hAnsi="楷体" w:eastAsia="楷体"/>
              </w:rPr>
              <w:t>6.2</w:t>
            </w:r>
          </w:p>
        </w:tc>
        <w:tc>
          <w:tcPr>
            <w:tcW w:w="10596" w:type="dxa"/>
            <w:vAlign w:val="top"/>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cs="宋体"/>
                <w:b/>
                <w:lang w:val="en-US" w:eastAsia="zh-CN"/>
              </w:rPr>
              <w:t>质量目标：                              考核结果</w:t>
            </w:r>
          </w:p>
          <w:p>
            <w:pPr>
              <w:rPr>
                <w:rFonts w:hint="eastAsia" w:ascii="楷体" w:hAnsi="楷体" w:eastAsia="楷体" w:cs="宋体"/>
                <w:b w:val="0"/>
                <w:bCs/>
                <w:lang w:val="en-US" w:eastAsia="zh-CN"/>
              </w:rPr>
            </w:pPr>
            <w:r>
              <w:rPr>
                <w:rFonts w:hint="eastAsia" w:ascii="楷体" w:hAnsi="楷体" w:eastAsia="楷体" w:cs="宋体"/>
                <w:b w:val="0"/>
                <w:bCs/>
                <w:lang w:val="en-US" w:eastAsia="zh-CN"/>
              </w:rPr>
              <w:t xml:space="preserve">合同履约率100%                           100%   </w:t>
            </w:r>
          </w:p>
          <w:p>
            <w:pPr>
              <w:rPr>
                <w:rFonts w:hint="eastAsia" w:ascii="楷体" w:hAnsi="楷体" w:eastAsia="楷体" w:cs="宋体"/>
                <w:b w:val="0"/>
                <w:bCs/>
                <w:lang w:val="en-US" w:eastAsia="zh-CN"/>
              </w:rPr>
            </w:pPr>
            <w:r>
              <w:rPr>
                <w:rFonts w:hint="eastAsia" w:ascii="楷体" w:hAnsi="楷体" w:eastAsia="楷体" w:cs="宋体"/>
                <w:b w:val="0"/>
                <w:bCs/>
                <w:lang w:val="en-US" w:eastAsia="zh-CN"/>
              </w:rPr>
              <w:t>顾客投诉处理及时率≥99%                  100%</w:t>
            </w:r>
          </w:p>
          <w:p>
            <w:pPr>
              <w:rPr>
                <w:rFonts w:hint="eastAsia" w:ascii="楷体" w:hAnsi="楷体" w:eastAsia="楷体" w:cs="宋体"/>
                <w:b w:val="0"/>
                <w:bCs/>
                <w:lang w:val="en-US" w:eastAsia="zh-CN"/>
              </w:rPr>
            </w:pPr>
            <w:r>
              <w:rPr>
                <w:rFonts w:hint="eastAsia" w:ascii="楷体" w:hAnsi="楷体" w:eastAsia="楷体" w:cs="宋体"/>
                <w:b w:val="0"/>
                <w:bCs/>
                <w:lang w:val="en-US" w:eastAsia="zh-CN"/>
              </w:rPr>
              <w:t>顾客满意度≥95%                          95.4%</w:t>
            </w:r>
          </w:p>
          <w:p>
            <w:pPr>
              <w:pStyle w:val="2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2"/>
              <w:rPr>
                <w:rFonts w:hint="eastAsia" w:ascii="楷体" w:hAnsi="楷体" w:eastAsia="楷体" w:cs="宋体"/>
                <w:b w:val="0"/>
                <w:bCs w:val="0"/>
                <w:lang w:val="en-US" w:eastAsia="zh-CN"/>
              </w:rPr>
            </w:pPr>
            <w:r>
              <w:rPr>
                <w:rFonts w:hint="eastAsia" w:ascii="楷体" w:hAnsi="楷体" w:eastAsia="楷体" w:cs="宋体"/>
                <w:b w:val="0"/>
                <w:bCs w:val="0"/>
                <w:lang w:val="en-US" w:eastAsia="zh-CN"/>
              </w:rPr>
              <w:t xml:space="preserve">重大安全事故发生率为0                 0 </w:t>
            </w:r>
          </w:p>
          <w:p>
            <w:pPr>
              <w:pStyle w:val="22"/>
              <w:rPr>
                <w:rFonts w:hint="eastAsia" w:ascii="楷体" w:hAnsi="楷体" w:eastAsia="楷体" w:cs="宋体"/>
                <w:b w:val="0"/>
                <w:bCs w:val="0"/>
                <w:lang w:val="en-US" w:eastAsia="zh-CN"/>
              </w:rPr>
            </w:pPr>
            <w:r>
              <w:rPr>
                <w:rFonts w:hint="eastAsia" w:ascii="楷体" w:hAnsi="楷体" w:eastAsia="楷体" w:cs="宋体"/>
                <w:b w:val="0"/>
                <w:bCs w:val="0"/>
                <w:lang w:val="en-US" w:eastAsia="zh-CN"/>
              </w:rPr>
              <w:t>火灾发生率为0                        0</w:t>
            </w:r>
          </w:p>
          <w:p>
            <w:pPr>
              <w:pStyle w:val="22"/>
              <w:rPr>
                <w:rFonts w:hint="eastAsia" w:ascii="楷体" w:hAnsi="楷体" w:eastAsia="楷体" w:cs="宋体"/>
                <w:b w:val="0"/>
                <w:bCs w:val="0"/>
                <w:lang w:val="en-US" w:eastAsia="zh-CN"/>
              </w:rPr>
            </w:pPr>
            <w:r>
              <w:rPr>
                <w:rFonts w:hint="default" w:ascii="楷体" w:hAnsi="楷体" w:eastAsia="楷体" w:cs="宋体"/>
                <w:b w:val="0"/>
                <w:bCs w:val="0"/>
                <w:lang w:val="en-US" w:eastAsia="zh-CN"/>
              </w:rPr>
              <w:t>职业病发生率为0</w:t>
            </w:r>
            <w:r>
              <w:rPr>
                <w:rFonts w:hint="eastAsia" w:ascii="楷体" w:hAnsi="楷体" w:eastAsia="楷体" w:cs="宋体"/>
                <w:b w:val="0"/>
                <w:bCs w:val="0"/>
                <w:lang w:val="en-US" w:eastAsia="zh-CN"/>
              </w:rPr>
              <w:t xml:space="preserve">                      0</w:t>
            </w:r>
          </w:p>
          <w:p>
            <w:pPr>
              <w:pStyle w:val="22"/>
              <w:rPr>
                <w:rFonts w:hint="default" w:ascii="楷体" w:hAnsi="楷体" w:eastAsia="楷体" w:cs="宋体"/>
                <w:b w:val="0"/>
                <w:bCs w:val="0"/>
                <w:lang w:val="en-US" w:eastAsia="zh-CN"/>
              </w:rPr>
            </w:pPr>
            <w:r>
              <w:rPr>
                <w:rFonts w:hint="default" w:ascii="楷体" w:hAnsi="楷体" w:eastAsia="楷体" w:cs="宋体"/>
                <w:b w:val="0"/>
                <w:bCs w:val="0"/>
                <w:lang w:val="en-US" w:eastAsia="zh-CN"/>
              </w:rPr>
              <w:t>传染病发生率为0</w:t>
            </w:r>
            <w:r>
              <w:rPr>
                <w:rFonts w:hint="eastAsia" w:ascii="楷体" w:hAnsi="楷体" w:eastAsia="楷体" w:cs="宋体"/>
                <w:b w:val="0"/>
                <w:bCs w:val="0"/>
                <w:lang w:val="en-US" w:eastAsia="zh-CN"/>
              </w:rPr>
              <w:t xml:space="preserve">                      0</w:t>
            </w:r>
          </w:p>
          <w:p>
            <w:pPr>
              <w:rPr>
                <w:rFonts w:ascii="楷体" w:hAnsi="楷体" w:eastAsia="楷体"/>
                <w:b/>
              </w:rPr>
            </w:pPr>
            <w:r>
              <w:rPr>
                <w:rFonts w:ascii="楷体" w:hAnsi="楷体" w:eastAsia="楷体" w:cs="宋体"/>
                <w:highlight w:val="lightGray"/>
              </w:rPr>
              <w:sym w:font="Wingdings 2" w:char="F098"/>
            </w:r>
            <w:r>
              <w:rPr>
                <w:rFonts w:hint="eastAsia" w:ascii="楷体" w:hAnsi="楷体" w:eastAsia="楷体" w:cs="宋体"/>
              </w:rPr>
              <w:t>目标在各部门进行了分解，</w:t>
            </w:r>
            <w:r>
              <w:rPr>
                <w:rFonts w:hint="eastAsia" w:ascii="楷体" w:hAnsi="楷体" w:eastAsia="楷体" w:cs="宋体"/>
                <w:lang w:val="en-US" w:eastAsia="zh-CN"/>
              </w:rPr>
              <w:t>考核时间</w:t>
            </w:r>
            <w:r>
              <w:rPr>
                <w:rFonts w:hint="eastAsia" w:ascii="楷体" w:hAnsi="楷体" w:eastAsia="楷体" w:cs="宋体"/>
              </w:rPr>
              <w:t>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1-9</w:t>
            </w:r>
            <w:r>
              <w:rPr>
                <w:rFonts w:hint="eastAsia" w:ascii="楷体" w:hAnsi="楷体" w:eastAsia="楷体" w:cs="宋体"/>
              </w:rPr>
              <w:t>月进行了考核，结果显示本年度目标实现。</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60" w:type="dxa"/>
            <w:vAlign w:val="top"/>
          </w:tcPr>
          <w:p>
            <w:pPr>
              <w:rPr>
                <w:rFonts w:hint="eastAsia" w:ascii="楷体" w:hAnsi="楷体" w:eastAsia="楷体"/>
              </w:rPr>
            </w:pPr>
            <w:r>
              <w:rPr>
                <w:rFonts w:hint="eastAsia" w:ascii="楷体" w:hAnsi="楷体" w:eastAsia="楷体"/>
                <w:szCs w:val="21"/>
              </w:rPr>
              <w:t>顾客沟通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8.2.1</w:t>
            </w:r>
          </w:p>
        </w:tc>
        <w:tc>
          <w:tcPr>
            <w:tcW w:w="10596" w:type="dxa"/>
            <w:vAlign w:val="top"/>
          </w:tcPr>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w:t>
            </w:r>
            <w:r>
              <w:rPr>
                <w:rFonts w:hint="eastAsia" w:ascii="楷体" w:hAnsi="楷体" w:eastAsia="楷体"/>
                <w:bCs/>
                <w:szCs w:val="21"/>
                <w:lang w:val="en-US" w:eastAsia="zh-CN"/>
              </w:rPr>
              <w:t>相关客诉详见Q8.7</w:t>
            </w:r>
            <w:r>
              <w:rPr>
                <w:rFonts w:hint="eastAsia" w:ascii="楷体" w:hAnsi="楷体" w:eastAsia="楷体"/>
                <w:bCs/>
                <w:szCs w:val="21"/>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产品和服务要求的确定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该公司主要产品为</w:t>
            </w:r>
            <w:r>
              <w:rPr>
                <w:rFonts w:hint="eastAsia" w:ascii="楷体" w:hAnsi="楷体" w:eastAsia="楷体"/>
                <w:bCs/>
                <w:szCs w:val="21"/>
                <w:lang w:eastAsia="zh-CN"/>
              </w:rPr>
              <w:t>润滑泵及润滑系统的设计和生产</w:t>
            </w:r>
            <w:r>
              <w:rPr>
                <w:rFonts w:hint="eastAsia" w:ascii="楷体" w:hAnsi="楷体" w:eastAsia="楷体"/>
                <w:bCs/>
                <w:szCs w:val="21"/>
              </w:rPr>
              <w:t>。</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该公司产品按照国家标准、法律法规要求及顾客要求生产，与产品有关的要求主要体现在合同及相关法律法规中。</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另外，该公司确定并收集了相关法律法规及标准文件，将其中的相关要求作为与产品有关要求的补充。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ascii="楷体" w:hAnsi="楷体" w:eastAsia="楷体"/>
                <w:szCs w:val="21"/>
              </w:rPr>
              <w:t>产品和服务要求的评审</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该公司签订的书面合同，由</w:t>
            </w:r>
            <w:r>
              <w:rPr>
                <w:rFonts w:hint="eastAsia" w:ascii="楷体" w:hAnsi="楷体" w:eastAsia="楷体"/>
                <w:szCs w:val="21"/>
                <w:lang w:eastAsia="zh-CN"/>
              </w:rPr>
              <w:t>销售部</w:t>
            </w:r>
            <w:r>
              <w:rPr>
                <w:rFonts w:hint="eastAsia" w:ascii="楷体" w:hAnsi="楷体" w:eastAsia="楷体"/>
                <w:szCs w:val="21"/>
              </w:rPr>
              <w:t>组织相关部门会签的形式进行评审，并做好《合同评审记录》的记录。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w:t>
            </w:r>
            <w:r>
              <w:rPr>
                <w:rFonts w:hint="eastAsia" w:ascii="楷体" w:hAnsi="楷体" w:eastAsia="楷体"/>
                <w:szCs w:val="21"/>
                <w:lang w:val="en-US" w:eastAsia="zh-CN"/>
              </w:rPr>
              <w:t>合同台账</w:t>
            </w:r>
            <w:r>
              <w:rPr>
                <w:rFonts w:hint="eastAsia" w:ascii="楷体" w:hAnsi="楷体" w:eastAsia="楷体"/>
                <w:szCs w:val="21"/>
              </w:rPr>
              <w:t>”，内容包括：客户名称、主要产品或服务范围、签订日期。</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lang w:val="en-US" w:eastAsia="zh-CN"/>
              </w:rPr>
              <w:t>抽查</w:t>
            </w:r>
            <w:r>
              <w:rPr>
                <w:rFonts w:hint="eastAsia" w:ascii="楷体" w:hAnsi="楷体" w:eastAsia="楷体"/>
                <w:szCs w:val="21"/>
              </w:rPr>
              <w:t>企业提供签订书面合同3份，提供了3份《合同评审表》。</w:t>
            </w:r>
          </w:p>
          <w:p>
            <w:pPr>
              <w:rPr>
                <w:rFonts w:hint="default" w:ascii="楷体" w:hAnsi="楷体" w:eastAsia="楷体"/>
                <w:szCs w:val="21"/>
                <w:lang w:val="en-US"/>
              </w:rPr>
            </w:pPr>
            <w:r>
              <w:rPr>
                <w:rFonts w:hint="eastAsia" w:ascii="楷体" w:hAnsi="楷体" w:eastAsia="楷体"/>
                <w:szCs w:val="21"/>
              </w:rPr>
              <w:t>——顾客名称：</w:t>
            </w:r>
            <w:r>
              <w:rPr>
                <w:rFonts w:hint="eastAsia" w:ascii="楷体" w:hAnsi="楷体" w:eastAsia="楷体"/>
                <w:szCs w:val="21"/>
                <w:lang w:val="en-US" w:eastAsia="zh-CN"/>
              </w:rPr>
              <w:t>浙江屹立机器人科技有限公司</w:t>
            </w:r>
            <w:r>
              <w:rPr>
                <w:rFonts w:hint="eastAsia" w:ascii="楷体" w:hAnsi="楷体" w:eastAsia="楷体"/>
                <w:szCs w:val="21"/>
              </w:rPr>
              <w:t>，签订时间：</w:t>
            </w:r>
            <w:r>
              <w:rPr>
                <w:rFonts w:hint="eastAsia" w:eastAsia="方正北魏楷书简体"/>
                <w:szCs w:val="21"/>
                <w:lang w:val="en-US" w:eastAsia="zh-CN"/>
              </w:rPr>
              <w:t>2021.12.17，合同编号：</w:t>
            </w:r>
            <w:r>
              <w:rPr>
                <w:rFonts w:hint="eastAsia" w:eastAsia="方正北魏楷书简体"/>
                <w:szCs w:val="20"/>
                <w:lang w:val="en-US" w:eastAsia="zh-CN"/>
              </w:rPr>
              <w:t>20211217001</w:t>
            </w:r>
          </w:p>
          <w:p>
            <w:pPr>
              <w:rPr>
                <w:rFonts w:ascii="楷体" w:hAnsi="楷体" w:eastAsia="楷体"/>
                <w:szCs w:val="21"/>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eastAsia="zh-CN"/>
              </w:rPr>
              <w:t>202</w:t>
            </w:r>
            <w:r>
              <w:rPr>
                <w:rFonts w:hint="eastAsia" w:eastAsia="方正北魏楷书简体"/>
                <w:szCs w:val="21"/>
                <w:lang w:val="en-US" w:eastAsia="zh-CN"/>
              </w:rPr>
              <w:t>1</w:t>
            </w:r>
            <w:r>
              <w:rPr>
                <w:rFonts w:eastAsia="方正北魏楷书简体"/>
                <w:szCs w:val="21"/>
              </w:rPr>
              <w:t>.</w:t>
            </w:r>
            <w:r>
              <w:rPr>
                <w:rFonts w:hint="eastAsia" w:eastAsia="方正北魏楷书简体"/>
                <w:szCs w:val="21"/>
                <w:lang w:val="en-US" w:eastAsia="zh-CN"/>
              </w:rPr>
              <w:t>12.13</w:t>
            </w:r>
          </w:p>
          <w:p>
            <w:pPr>
              <w:rPr>
                <w:rFonts w:hint="default" w:ascii="楷体" w:hAnsi="楷体" w:eastAsia="楷体"/>
                <w:szCs w:val="21"/>
                <w:lang w:val="en-US"/>
              </w:rPr>
            </w:pPr>
            <w:r>
              <w:rPr>
                <w:rFonts w:hint="eastAsia" w:ascii="楷体" w:hAnsi="楷体" w:eastAsia="楷体"/>
                <w:szCs w:val="21"/>
              </w:rPr>
              <w:t>产品名称：</w:t>
            </w:r>
            <w:r>
              <w:rPr>
                <w:rFonts w:hint="eastAsia" w:ascii="楷体" w:hAnsi="楷体" w:eastAsia="楷体"/>
                <w:szCs w:val="21"/>
                <w:lang w:val="en-US" w:eastAsia="zh-CN"/>
              </w:rPr>
              <w:t>油脂润滑泵</w:t>
            </w:r>
          </w:p>
          <w:p>
            <w:pPr>
              <w:rPr>
                <w:rFonts w:ascii="楷体" w:hAnsi="楷体" w:eastAsia="楷体"/>
                <w:color w:val="FF0000"/>
                <w:szCs w:val="21"/>
              </w:rPr>
            </w:pPr>
            <w:r>
              <w:rPr>
                <w:rFonts w:hint="eastAsia" w:ascii="楷体" w:hAnsi="楷体" w:eastAsia="楷体"/>
                <w:szCs w:val="21"/>
              </w:rPr>
              <w:t xml:space="preserve">产品要求：明确了产品名称、规格型号、数量、交货期等。 </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lang w:eastAsia="zh-CN"/>
              </w:rPr>
              <w:t>生产部</w:t>
            </w:r>
            <w:r>
              <w:rPr>
                <w:rFonts w:hint="eastAsia" w:ascii="楷体" w:hAnsi="楷体" w:eastAsia="楷体"/>
                <w:szCs w:val="21"/>
              </w:rPr>
              <w:t>、</w:t>
            </w:r>
            <w:r>
              <w:rPr>
                <w:rFonts w:hint="eastAsia" w:ascii="楷体" w:hAnsi="楷体" w:eastAsia="楷体"/>
                <w:szCs w:val="21"/>
                <w:lang w:val="en-US" w:eastAsia="zh-CN"/>
              </w:rPr>
              <w:t>质检部、采购部等</w:t>
            </w:r>
            <w:r>
              <w:rPr>
                <w:rFonts w:hint="eastAsia" w:ascii="楷体" w:hAnsi="楷体" w:eastAsia="楷体"/>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szCs w:val="21"/>
              </w:rPr>
            </w:pPr>
            <w:r>
              <w:rPr>
                <w:rFonts w:hint="eastAsia" w:ascii="楷体" w:hAnsi="楷体" w:eastAsia="楷体"/>
                <w:szCs w:val="21"/>
              </w:rPr>
              <w:t xml:space="preserve">评审结论：可以签订。总经理 </w:t>
            </w:r>
            <w:r>
              <w:rPr>
                <w:rFonts w:hint="eastAsia" w:eastAsia="方正北魏楷书简体"/>
                <w:szCs w:val="21"/>
                <w:lang w:val="en-US" w:eastAsia="zh-CN"/>
              </w:rPr>
              <w:t>金登伟</w:t>
            </w:r>
            <w:r>
              <w:rPr>
                <w:rFonts w:hint="eastAsia" w:ascii="楷体" w:hAnsi="楷体" w:eastAsia="楷体"/>
                <w:szCs w:val="21"/>
              </w:rPr>
              <w:t xml:space="preserve">  </w:t>
            </w:r>
          </w:p>
          <w:p>
            <w:pPr>
              <w:rPr>
                <w:rFonts w:hint="default" w:ascii="Times New Roman" w:hAnsi="Times New Roman" w:eastAsia="方正北魏楷书简体"/>
                <w:color w:val="auto"/>
                <w:szCs w:val="20"/>
                <w:lang w:val="en-US" w:eastAsia="zh-CN"/>
              </w:rPr>
            </w:pPr>
            <w:r>
              <w:rPr>
                <w:rFonts w:hint="eastAsia" w:ascii="楷体" w:hAnsi="楷体" w:eastAsia="楷体"/>
                <w:color w:val="auto"/>
                <w:szCs w:val="21"/>
              </w:rPr>
              <w:t>——顾客名称：</w:t>
            </w:r>
            <w:r>
              <w:rPr>
                <w:rFonts w:hint="eastAsia" w:eastAsia="楷体"/>
                <w:color w:val="auto"/>
                <w:lang w:val="en-US" w:eastAsia="zh-CN"/>
              </w:rPr>
              <w:t>昆山新伙伴工业连接系统有限公司</w:t>
            </w:r>
            <w:r>
              <w:rPr>
                <w:rFonts w:hint="eastAsia" w:ascii="楷体" w:hAnsi="楷体" w:eastAsia="楷体"/>
                <w:color w:val="auto"/>
                <w:szCs w:val="21"/>
              </w:rPr>
              <w:t>，签订时</w:t>
            </w:r>
            <w:r>
              <w:rPr>
                <w:rFonts w:hint="eastAsia" w:ascii="Times New Roman" w:hAnsi="Times New Roman" w:eastAsia="楷体" w:cs="Times New Roman"/>
                <w:color w:val="auto"/>
                <w:lang w:val="en-US" w:eastAsia="zh-CN"/>
              </w:rPr>
              <w:t>间：2022年8月14日，合同编号：202208</w:t>
            </w:r>
            <w:r>
              <w:rPr>
                <w:rFonts w:hint="eastAsia" w:eastAsia="方正北魏楷书简体"/>
                <w:color w:val="auto"/>
                <w:szCs w:val="20"/>
                <w:lang w:val="en-US" w:eastAsia="zh-CN"/>
              </w:rPr>
              <w:t>14001</w:t>
            </w:r>
          </w:p>
          <w:p>
            <w:pPr>
              <w:rPr>
                <w:rFonts w:hint="default" w:ascii="楷体" w:hAnsi="楷体" w:eastAsia="楷体"/>
                <w:color w:val="auto"/>
                <w:szCs w:val="21"/>
                <w:lang w:val="en-US"/>
              </w:rPr>
            </w:pPr>
            <w:r>
              <w:rPr>
                <w:rFonts w:hint="eastAsia" w:ascii="楷体" w:hAnsi="楷体" w:eastAsia="楷体"/>
                <w:color w:val="auto"/>
                <w:szCs w:val="21"/>
              </w:rPr>
              <w:t>产品名称：</w:t>
            </w:r>
            <w:r>
              <w:rPr>
                <w:rFonts w:hint="eastAsia" w:ascii="楷体" w:hAnsi="楷体" w:eastAsia="楷体"/>
                <w:color w:val="auto"/>
                <w:szCs w:val="21"/>
                <w:lang w:val="en-US" w:eastAsia="zh-CN"/>
              </w:rPr>
              <w:t>油脂润滑泵</w:t>
            </w:r>
          </w:p>
          <w:p>
            <w:pPr>
              <w:rPr>
                <w:rFonts w:ascii="楷体" w:hAnsi="楷体" w:eastAsia="楷体"/>
                <w:color w:val="auto"/>
                <w:szCs w:val="21"/>
              </w:rPr>
            </w:pPr>
            <w:r>
              <w:rPr>
                <w:rFonts w:hint="eastAsia" w:ascii="楷体" w:hAnsi="楷体" w:eastAsia="楷体"/>
                <w:color w:val="auto"/>
                <w:szCs w:val="21"/>
              </w:rPr>
              <w:t xml:space="preserve">产品要求：明确了产品名称、规格型号、数量、单价等。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val="en-US" w:eastAsia="zh-CN"/>
              </w:rPr>
              <w:t>质检部、采购部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 xml:space="preserve">评审结论：可以签订。总经理 </w:t>
            </w:r>
            <w:r>
              <w:rPr>
                <w:rFonts w:hint="eastAsia" w:ascii="楷体" w:hAnsi="楷体" w:eastAsia="楷体"/>
                <w:color w:val="auto"/>
                <w:szCs w:val="21"/>
                <w:lang w:eastAsia="zh-CN"/>
              </w:rPr>
              <w:t>金登伟</w:t>
            </w:r>
            <w:r>
              <w:rPr>
                <w:rFonts w:hint="eastAsia" w:ascii="楷体" w:hAnsi="楷体" w:eastAsia="楷体"/>
                <w:color w:val="auto"/>
                <w:szCs w:val="21"/>
              </w:rPr>
              <w:t xml:space="preserve"> </w:t>
            </w:r>
          </w:p>
          <w:p>
            <w:pPr>
              <w:rPr>
                <w:rFonts w:hint="default" w:ascii="楷体" w:hAnsi="楷体" w:eastAsia="楷体"/>
                <w:color w:val="auto"/>
                <w:szCs w:val="21"/>
                <w:lang w:val="en-US"/>
              </w:rPr>
            </w:pPr>
            <w:r>
              <w:rPr>
                <w:rFonts w:hint="eastAsia" w:ascii="楷体" w:hAnsi="楷体" w:eastAsia="楷体"/>
                <w:color w:val="auto"/>
                <w:szCs w:val="21"/>
              </w:rPr>
              <w:t>——顾客名称：</w:t>
            </w:r>
            <w:r>
              <w:rPr>
                <w:rFonts w:hint="eastAsia" w:eastAsia="方正北魏楷书简体"/>
                <w:color w:val="auto"/>
                <w:szCs w:val="21"/>
                <w:lang w:val="en-US" w:eastAsia="zh-CN"/>
              </w:rPr>
              <w:t>广东赛达康机电技术有限公司</w:t>
            </w:r>
            <w:r>
              <w:rPr>
                <w:rFonts w:hint="eastAsia" w:ascii="楷体" w:hAnsi="楷体" w:eastAsia="楷体"/>
                <w:color w:val="auto"/>
                <w:szCs w:val="21"/>
              </w:rPr>
              <w:t>，签订时间：</w:t>
            </w:r>
            <w:r>
              <w:rPr>
                <w:rFonts w:hint="eastAsia" w:eastAsia="方正北魏楷书简体"/>
                <w:color w:val="auto"/>
                <w:szCs w:val="21"/>
                <w:lang w:val="en-US" w:eastAsia="zh-CN"/>
              </w:rPr>
              <w:t>2022.1.14，合同编号：20220114001</w:t>
            </w:r>
          </w:p>
          <w:p>
            <w:pPr>
              <w:rPr>
                <w:rFonts w:ascii="楷体" w:hAnsi="楷体" w:eastAsia="楷体"/>
                <w:color w:val="auto"/>
                <w:szCs w:val="21"/>
              </w:rPr>
            </w:pPr>
            <w:r>
              <w:rPr>
                <w:rFonts w:hint="eastAsia" w:ascii="楷体" w:hAnsi="楷体" w:eastAsia="楷体"/>
                <w:color w:val="auto"/>
                <w:szCs w:val="21"/>
              </w:rPr>
              <w:t>交货日期：按照订单或甲方通知交货时间为准进行交货。</w:t>
            </w:r>
          </w:p>
          <w:p>
            <w:pPr>
              <w:rPr>
                <w:rFonts w:ascii="楷体" w:hAnsi="楷体" w:eastAsia="楷体"/>
                <w:color w:val="auto"/>
                <w:szCs w:val="21"/>
              </w:rPr>
            </w:pPr>
            <w:r>
              <w:rPr>
                <w:rFonts w:hint="eastAsia" w:ascii="楷体" w:hAnsi="楷体" w:eastAsia="楷体"/>
                <w:color w:val="auto"/>
                <w:szCs w:val="21"/>
              </w:rPr>
              <w:t>产品名称：桁</w:t>
            </w:r>
            <w:r>
              <w:rPr>
                <w:rFonts w:hint="eastAsia" w:ascii="楷体" w:hAnsi="楷体" w:eastAsia="楷体"/>
                <w:color w:val="auto"/>
                <w:szCs w:val="21"/>
                <w:lang w:val="en-US" w:eastAsia="zh-CN"/>
              </w:rPr>
              <w:t>架机械手油脂泵</w:t>
            </w:r>
            <w:r>
              <w:rPr>
                <w:rFonts w:ascii="楷体" w:hAnsi="楷体" w:eastAsia="楷体"/>
                <w:color w:val="auto"/>
                <w:szCs w:val="21"/>
              </w:rPr>
              <w:t xml:space="preserve"> </w:t>
            </w:r>
          </w:p>
          <w:p>
            <w:pPr>
              <w:rPr>
                <w:rFonts w:ascii="楷体" w:hAnsi="楷体" w:eastAsia="楷体"/>
                <w:color w:val="auto"/>
                <w:szCs w:val="21"/>
              </w:rPr>
            </w:pPr>
            <w:r>
              <w:rPr>
                <w:rFonts w:hint="eastAsia" w:ascii="楷体" w:hAnsi="楷体" w:eastAsia="楷体"/>
                <w:color w:val="auto"/>
                <w:szCs w:val="21"/>
              </w:rPr>
              <w:t xml:space="preserve">产品要求：明确了产品名称、规格型号、数量、单价等。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val="en-US" w:eastAsia="zh-CN"/>
              </w:rPr>
              <w:t>质检部、采购部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 xml:space="preserve">评审结论：可以签订。总经理 </w:t>
            </w:r>
            <w:r>
              <w:rPr>
                <w:rFonts w:hint="eastAsia" w:ascii="楷体" w:hAnsi="楷体" w:eastAsia="楷体"/>
                <w:color w:val="auto"/>
                <w:szCs w:val="21"/>
                <w:lang w:eastAsia="zh-CN"/>
              </w:rPr>
              <w:t>金登伟</w:t>
            </w:r>
            <w:r>
              <w:rPr>
                <w:rFonts w:hint="eastAsia" w:ascii="楷体" w:hAnsi="楷体" w:eastAsia="楷体"/>
                <w:color w:val="auto"/>
                <w:szCs w:val="21"/>
              </w:rPr>
              <w:t xml:space="preserve"> </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以上合同自签订后没有变更发生，以上合同均正在履行中。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没有合同更改的情况，如果需要更改，需对更改内容重新评审。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合同评审相关活动的开展符合文件策划的要求。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rPr>
                <w:rFonts w:hint="eastAsia" w:ascii="楷体" w:hAnsi="楷体" w:eastAsia="楷体"/>
              </w:rPr>
            </w:pPr>
            <w:r>
              <w:rPr>
                <w:rFonts w:ascii="楷体" w:hAnsi="楷体" w:eastAsia="楷体"/>
                <w:szCs w:val="21"/>
              </w:rPr>
              <w:t>产品和服务要求的更改</w:t>
            </w:r>
            <w:r>
              <w:rPr>
                <w:rFonts w:hint="eastAsia" w:ascii="楷体" w:hAnsi="楷体" w:eastAsia="楷体"/>
                <w:szCs w:val="21"/>
                <w:lang w:eastAsia="zh-CN"/>
              </w:rPr>
              <w:t>、</w:t>
            </w:r>
            <w:r>
              <w:rPr>
                <w:rFonts w:hint="eastAsia" w:ascii="楷体" w:hAnsi="楷体" w:eastAsia="楷体"/>
                <w:szCs w:val="21"/>
              </w:rPr>
              <w:t>更改控制</w:t>
            </w:r>
          </w:p>
        </w:tc>
        <w:tc>
          <w:tcPr>
            <w:tcW w:w="960" w:type="dxa"/>
            <w:vAlign w:val="top"/>
          </w:tcPr>
          <w:p>
            <w:pPr>
              <w:rPr>
                <w:rFonts w:hint="eastAsia" w:ascii="楷体" w:hAnsi="楷体" w:eastAsia="楷体"/>
                <w:szCs w:val="21"/>
              </w:rPr>
            </w:pPr>
            <w:r>
              <w:rPr>
                <w:rFonts w:hint="eastAsia" w:ascii="楷体" w:hAnsi="楷体" w:eastAsia="楷体"/>
                <w:szCs w:val="21"/>
                <w:lang w:val="en-US" w:eastAsia="zh-CN"/>
              </w:rPr>
              <w:t>Q</w:t>
            </w:r>
            <w:r>
              <w:rPr>
                <w:rFonts w:hint="eastAsia" w:ascii="楷体" w:hAnsi="楷体" w:eastAsia="楷体"/>
                <w:szCs w:val="21"/>
              </w:rPr>
              <w:t>8.2.4</w:t>
            </w:r>
          </w:p>
          <w:p>
            <w:pPr>
              <w:rPr>
                <w:rFonts w:hint="eastAsia"/>
                <w:szCs w:val="21"/>
                <w:u w:val="none"/>
              </w:rPr>
            </w:pPr>
            <w:r>
              <w:rPr>
                <w:rFonts w:hint="eastAsia" w:ascii="楷体" w:hAnsi="楷体" w:eastAsia="楷体"/>
                <w:szCs w:val="21"/>
                <w:lang w:val="en-US" w:eastAsia="zh-CN"/>
              </w:rPr>
              <w:t>Q</w:t>
            </w:r>
            <w:bookmarkStart w:id="1" w:name="_GoBack"/>
            <w:bookmarkEnd w:id="1"/>
            <w:r>
              <w:rPr>
                <w:rFonts w:hint="eastAsia" w:ascii="楷体" w:hAnsi="楷体" w:eastAsia="楷体"/>
                <w:szCs w:val="21"/>
              </w:rPr>
              <w:t>8.5.6</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经电话询问，未发生合同变更及顾客要求发生变更造成与先前合同或订单要求表述存在差异的情况。</w:t>
            </w:r>
          </w:p>
          <w:p>
            <w:pPr>
              <w:rPr>
                <w:rFonts w:hint="eastAsia" w:cs="Times New Roman"/>
                <w:kern w:val="2"/>
                <w:sz w:val="21"/>
                <w:lang w:val="en-US" w:eastAsia="zh-CN" w:bidi="ar-SA"/>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顾客或外部供方的财产</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w:t>
            </w:r>
            <w:r>
              <w:rPr>
                <w:rFonts w:hint="eastAsia" w:ascii="楷体" w:hAnsi="楷体" w:eastAsia="楷体"/>
                <w:szCs w:val="21"/>
                <w:lang w:eastAsia="zh-CN"/>
              </w:rPr>
              <w:t>管理手册</w:t>
            </w:r>
            <w:r>
              <w:rPr>
                <w:rFonts w:hint="eastAsia" w:ascii="楷体" w:hAnsi="楷体" w:eastAsia="楷体"/>
                <w:szCs w:val="21"/>
              </w:rPr>
              <w:t>中规定顾客或外部供方财产可能包括材料、零部件、工具和设备、顾客的场所、知识产权和个人信息。</w:t>
            </w:r>
            <w:r>
              <w:rPr>
                <w:rFonts w:hint="eastAsia" w:ascii="楷体" w:hAnsi="楷体" w:eastAsia="楷体"/>
                <w:szCs w:val="21"/>
                <w:lang w:eastAsia="zh-CN"/>
              </w:rPr>
              <w:t>生产部</w:t>
            </w:r>
            <w:r>
              <w:rPr>
                <w:rFonts w:hint="eastAsia" w:ascii="楷体" w:hAnsi="楷体" w:eastAsia="楷体"/>
                <w:szCs w:val="21"/>
              </w:rPr>
              <w:t>、仓库负责接收顾客财产，并对顾客财产进行使用和维护保管。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公司目前无有形的外部供方财产，所保存的外部供方财产为供方的个人信息、</w:t>
            </w:r>
            <w:r>
              <w:rPr>
                <w:rFonts w:hint="eastAsia" w:ascii="楷体" w:hAnsi="楷体" w:eastAsia="楷体"/>
                <w:szCs w:val="21"/>
                <w:lang w:val="en-US" w:eastAsia="zh-CN"/>
              </w:rPr>
              <w:t>合同协议</w:t>
            </w:r>
            <w:r>
              <w:rPr>
                <w:rFonts w:hint="eastAsia" w:ascii="楷体" w:hAnsi="楷体" w:eastAsia="楷体"/>
                <w:szCs w:val="21"/>
              </w:rPr>
              <w:t>。公司由</w:t>
            </w:r>
            <w:r>
              <w:rPr>
                <w:rFonts w:hint="eastAsia" w:ascii="楷体" w:hAnsi="楷体" w:eastAsia="楷体"/>
                <w:szCs w:val="21"/>
                <w:lang w:eastAsia="zh-CN"/>
              </w:rPr>
              <w:t>销售部</w:t>
            </w:r>
            <w:r>
              <w:rPr>
                <w:rFonts w:hint="eastAsia" w:ascii="楷体" w:hAnsi="楷体" w:eastAsia="楷体"/>
                <w:szCs w:val="21"/>
              </w:rPr>
              <w:t>统一储存保管，防止泄露。</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楷体" w:hAnsi="楷体" w:eastAsia="楷体"/>
              </w:rPr>
            </w:pPr>
            <w:r>
              <w:rPr>
                <w:rFonts w:hint="eastAsia" w:ascii="楷体" w:hAnsi="楷体" w:eastAsia="楷体"/>
                <w:bCs/>
                <w:szCs w:val="21"/>
              </w:rPr>
              <w:t>交付后的活动</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8.5.5</w:t>
            </w:r>
          </w:p>
        </w:tc>
        <w:tc>
          <w:tcPr>
            <w:tcW w:w="10596" w:type="dxa"/>
            <w:vAlign w:val="top"/>
          </w:tcPr>
          <w:p>
            <w:pPr>
              <w:rPr>
                <w:rFonts w:hint="eastAsia" w:cs="Times New Roman"/>
                <w:kern w:val="2"/>
                <w:sz w:val="21"/>
                <w:lang w:val="en-US" w:eastAsia="zh-CN" w:bidi="ar-SA"/>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顾客满意</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9.1.2</w:t>
            </w:r>
          </w:p>
        </w:tc>
        <w:tc>
          <w:tcPr>
            <w:tcW w:w="10596" w:type="dxa"/>
            <w:vAlign w:val="top"/>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公司通过电话，走访等形式，接受顾客反馈，了解顾客满意度信息，发放调查表对顾客满意度进行定量测量。</w:t>
            </w:r>
          </w:p>
          <w:p>
            <w:pPr>
              <w:rPr>
                <w:rFonts w:hint="eastAsia" w:cs="Times New Roman"/>
                <w:kern w:val="2"/>
                <w:sz w:val="21"/>
                <w:lang w:val="en-US" w:eastAsia="zh-CN" w:bidi="ar-SA"/>
              </w:rPr>
            </w:pPr>
            <w:r>
              <w:rPr>
                <w:rFonts w:ascii="楷体" w:hAnsi="楷体" w:eastAsia="楷体"/>
                <w:szCs w:val="21"/>
                <w:lang w:val="zh-CN"/>
              </w:rPr>
              <w:sym w:font="Wingdings 2" w:char="F098"/>
            </w:r>
            <w:r>
              <w:rPr>
                <w:rFonts w:ascii="楷体" w:hAnsi="楷体" w:eastAsia="楷体"/>
                <w:szCs w:val="21"/>
                <w:lang w:val="zh-CN"/>
              </w:rPr>
              <w:t>提供</w:t>
            </w:r>
            <w:r>
              <w:rPr>
                <w:rFonts w:hint="eastAsia" w:ascii="楷体" w:hAnsi="楷体" w:eastAsia="楷体"/>
                <w:szCs w:val="21"/>
                <w:lang w:val="en-US" w:eastAsia="zh-CN"/>
              </w:rPr>
              <w:t>2022年8月13日关于：浙江震环数控机床有限公司</w:t>
            </w:r>
            <w:r>
              <w:rPr>
                <w:rFonts w:hint="eastAsia" w:ascii="楷体" w:hAnsi="楷体" w:eastAsia="楷体"/>
                <w:szCs w:val="21"/>
                <w:lang w:val="zh-CN"/>
              </w:rPr>
              <w:t>、玉环仪表机床制造厂、玉环佳欧数控机床制造有限公司、台州震江数控机床有限公司</w:t>
            </w:r>
            <w:r>
              <w:rPr>
                <w:rFonts w:hint="eastAsia" w:ascii="楷体" w:hAnsi="楷体" w:eastAsia="楷体"/>
                <w:szCs w:val="21"/>
                <w:lang w:val="en-US" w:eastAsia="zh-CN"/>
              </w:rPr>
              <w:t>等等</w:t>
            </w:r>
            <w:r>
              <w:rPr>
                <w:rFonts w:ascii="楷体" w:hAnsi="楷体" w:eastAsia="楷体"/>
                <w:szCs w:val="21"/>
                <w:lang w:val="zh-CN"/>
              </w:rPr>
              <w:t>“顾客满意程度调查表”，调查主要内容：</w:t>
            </w:r>
            <w:r>
              <w:rPr>
                <w:rFonts w:hint="eastAsia" w:ascii="楷体" w:hAnsi="楷体" w:eastAsia="楷体"/>
                <w:szCs w:val="21"/>
                <w:lang w:val="zh-CN"/>
              </w:rPr>
              <w:t>产品</w:t>
            </w:r>
            <w:r>
              <w:rPr>
                <w:rFonts w:ascii="楷体" w:hAnsi="楷体" w:eastAsia="楷体"/>
                <w:szCs w:val="21"/>
              </w:rPr>
              <w:t>质量、</w:t>
            </w:r>
            <w:r>
              <w:rPr>
                <w:rFonts w:hint="eastAsia" w:ascii="楷体" w:hAnsi="楷体" w:eastAsia="楷体"/>
                <w:szCs w:val="21"/>
              </w:rPr>
              <w:t>交货及时性</w:t>
            </w:r>
            <w:r>
              <w:rPr>
                <w:rFonts w:ascii="楷体" w:hAnsi="楷体" w:eastAsia="楷体"/>
                <w:szCs w:val="21"/>
              </w:rPr>
              <w:t>、</w:t>
            </w:r>
            <w:r>
              <w:rPr>
                <w:rFonts w:hint="eastAsia" w:ascii="楷体" w:hAnsi="楷体" w:eastAsia="楷体"/>
                <w:szCs w:val="21"/>
              </w:rPr>
              <w:t>售后服务</w:t>
            </w:r>
            <w:r>
              <w:rPr>
                <w:rFonts w:ascii="楷体" w:hAnsi="楷体" w:eastAsia="楷体"/>
                <w:szCs w:val="21"/>
              </w:rPr>
              <w:t>、</w:t>
            </w:r>
            <w:r>
              <w:rPr>
                <w:rFonts w:hint="eastAsia" w:ascii="楷体" w:hAnsi="楷体" w:eastAsia="楷体"/>
                <w:szCs w:val="21"/>
              </w:rPr>
              <w:t>价格水平</w:t>
            </w:r>
            <w:r>
              <w:rPr>
                <w:rFonts w:ascii="楷体" w:hAnsi="楷体" w:eastAsia="楷体"/>
                <w:szCs w:val="21"/>
              </w:rPr>
              <w:t>等方面的满意程度</w:t>
            </w:r>
            <w:r>
              <w:rPr>
                <w:rFonts w:ascii="楷体" w:hAnsi="楷体" w:eastAsia="楷体"/>
                <w:szCs w:val="21"/>
                <w:lang w:val="zh-CN"/>
              </w:rPr>
              <w:t>等，</w:t>
            </w:r>
            <w:r>
              <w:rPr>
                <w:rFonts w:ascii="楷体" w:hAnsi="楷体" w:eastAsia="楷体"/>
                <w:szCs w:val="21"/>
              </w:rPr>
              <w:t>各项得分求平均值得最终结果</w:t>
            </w:r>
            <w:r>
              <w:rPr>
                <w:rFonts w:ascii="楷体" w:hAnsi="楷体" w:eastAsia="楷体"/>
                <w:szCs w:val="21"/>
                <w:lang w:val="zh-CN"/>
              </w:rPr>
              <w:t>。</w:t>
            </w:r>
            <w:r>
              <w:rPr>
                <w:rFonts w:ascii="楷体" w:hAnsi="楷体" w:eastAsia="楷体"/>
                <w:szCs w:val="21"/>
              </w:rPr>
              <w:t>提供顾客满意调查分析。最终顾客满意率</w:t>
            </w:r>
            <w:r>
              <w:rPr>
                <w:rFonts w:hint="eastAsia" w:ascii="楷体" w:hAnsi="楷体" w:eastAsia="楷体"/>
                <w:szCs w:val="21"/>
              </w:rPr>
              <w:t>9</w:t>
            </w:r>
            <w:r>
              <w:rPr>
                <w:rFonts w:hint="eastAsia" w:ascii="楷体" w:hAnsi="楷体" w:eastAsia="楷体"/>
                <w:szCs w:val="21"/>
                <w:lang w:val="en-US" w:eastAsia="zh-CN"/>
              </w:rPr>
              <w:t>5.4</w:t>
            </w:r>
            <w:r>
              <w:rPr>
                <w:rFonts w:ascii="楷体" w:hAnsi="楷体" w:eastAsia="楷体"/>
                <w:szCs w:val="21"/>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本部门应执行的运行控制文件：《生产过程控制程序》</w:t>
            </w:r>
            <w:r>
              <w:rPr>
                <w:rFonts w:hint="eastAsia" w:ascii="楷体" w:hAnsi="楷体" w:eastAsia="楷体" w:cs="Times New Roman"/>
                <w:bCs/>
                <w:szCs w:val="21"/>
                <w:lang w:val="en-GB"/>
              </w:rPr>
              <w:t>、《风险和机遇的应对控制程序》</w:t>
            </w:r>
            <w:r>
              <w:rPr>
                <w:rFonts w:hint="eastAsia" w:ascii="楷体" w:hAnsi="楷体" w:eastAsia="楷体" w:cs="Times New Roman"/>
                <w:bCs/>
                <w:szCs w:val="21"/>
                <w:lang w:val="en-GB" w:eastAsia="zh-CN"/>
              </w:rPr>
              <w:t>、</w:t>
            </w:r>
            <w:r>
              <w:rPr>
                <w:rFonts w:hint="eastAsia" w:ascii="楷体" w:hAnsi="楷体" w:eastAsia="楷体" w:cs="Times New Roman"/>
                <w:bCs/>
                <w:szCs w:val="21"/>
                <w:lang w:val="en-GB"/>
              </w:rPr>
              <w:t>《环境因素识别与评价管理程序》、《危险源辨识与风险评价控制措施管理程序》</w:t>
            </w:r>
            <w:r>
              <w:rPr>
                <w:rFonts w:hint="eastAsia" w:ascii="楷体" w:hAnsi="楷体" w:eastAsia="楷体" w:cs="Times New Roman"/>
                <w:bCs/>
                <w:szCs w:val="21"/>
              </w:rPr>
              <w:t>、《运行控制管理程序》</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人事部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主要劳保用品为：线手套、洗衣粉、胶手套、口罩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w:t>
            </w:r>
            <w:r>
              <w:rPr>
                <w:rFonts w:hint="eastAsia" w:ascii="楷体" w:hAnsi="楷体" w:eastAsia="楷体" w:cs="Times New Roman"/>
                <w:bCs/>
                <w:szCs w:val="21"/>
                <w:lang w:val="en-GB" w:eastAsia="zh-CN"/>
              </w:rPr>
              <w:drawing>
                <wp:anchor distT="0" distB="0" distL="114300" distR="114300" simplePos="0" relativeHeight="251661312" behindDoc="0" locked="0" layoutInCell="1" allowOverlap="1">
                  <wp:simplePos x="0" y="0"/>
                  <wp:positionH relativeFrom="column">
                    <wp:posOffset>3787775</wp:posOffset>
                  </wp:positionH>
                  <wp:positionV relativeFrom="paragraph">
                    <wp:posOffset>-1187450</wp:posOffset>
                  </wp:positionV>
                  <wp:extent cx="2757805" cy="1875790"/>
                  <wp:effectExtent l="0" t="0" r="10795" b="3810"/>
                  <wp:wrapSquare wrapText="bothSides"/>
                  <wp:docPr id="5" name="图片 5" descr="e2ac7db7d1a6670496a9c78110456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ac7db7d1a6670496a9c78110456a5"/>
                          <pic:cNvPicPr>
                            <a:picLocks noChangeAspect="1"/>
                          </pic:cNvPicPr>
                        </pic:nvPicPr>
                        <pic:blipFill>
                          <a:blip r:embed="rId6"/>
                          <a:stretch>
                            <a:fillRect/>
                          </a:stretch>
                        </pic:blipFill>
                        <pic:spPr>
                          <a:xfrm>
                            <a:off x="0" y="0"/>
                            <a:ext cx="2757805" cy="1875790"/>
                          </a:xfrm>
                          <a:prstGeom prst="rect">
                            <a:avLst/>
                          </a:prstGeom>
                        </pic:spPr>
                      </pic:pic>
                    </a:graphicData>
                  </a:graphic>
                </wp:anchor>
              </w:drawing>
            </w:r>
            <w:r>
              <w:rPr>
                <w:rFonts w:hint="eastAsia" w:ascii="楷体" w:hAnsi="楷体" w:eastAsia="楷体" w:cs="Times New Roman"/>
                <w:bCs/>
                <w:szCs w:val="21"/>
              </w:rPr>
              <w:t>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商户、固体废弃物处理等。提供了“相关方环境及职业健康安全告知书”</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default"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eastAsia="zh-CN"/>
              </w:rPr>
              <w:t>人事部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《工作环境、安全检查表</w:t>
            </w:r>
            <w:r>
              <w:rPr>
                <w:rFonts w:hint="eastAsia" w:ascii="楷体" w:hAnsi="楷体" w:eastAsia="楷体" w:cs="Times New Roman"/>
                <w:bCs/>
                <w:szCs w:val="21"/>
                <w:lang w:val="en-US" w:eastAsia="zh-CN"/>
              </w:rPr>
              <w:t>》、《消防器材检查记录》《部门工作质量检查考核记录》</w:t>
            </w:r>
          </w:p>
          <w:p>
            <w:pPr>
              <w:rPr>
                <w:rFonts w:hint="eastAsia" w:ascii="楷体" w:hAnsi="楷体" w:eastAsia="楷体" w:cs="Times New Roman"/>
                <w:bCs/>
                <w:szCs w:val="21"/>
                <w:lang w:eastAsia="zh-CN"/>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lang w:eastAsia="zh-CN"/>
              </w:rPr>
              <w:drawing>
                <wp:inline distT="0" distB="0" distL="114300" distR="114300">
                  <wp:extent cx="3688080" cy="1737995"/>
                  <wp:effectExtent l="0" t="0" r="7620" b="1905"/>
                  <wp:docPr id="6" name="图片 6" descr="37f564f0a2fa4b14b6a6dafd18a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7f564f0a2fa4b14b6a6dafd18a4735"/>
                          <pic:cNvPicPr>
                            <a:picLocks noChangeAspect="1"/>
                          </pic:cNvPicPr>
                        </pic:nvPicPr>
                        <pic:blipFill>
                          <a:blip r:embed="rId7"/>
                          <a:stretch>
                            <a:fillRect/>
                          </a:stretch>
                        </pic:blipFill>
                        <pic:spPr>
                          <a:xfrm>
                            <a:off x="0" y="0"/>
                            <a:ext cx="3688080" cy="1737995"/>
                          </a:xfrm>
                          <a:prstGeom prst="rect">
                            <a:avLst/>
                          </a:prstGeom>
                        </pic:spPr>
                      </pic:pic>
                    </a:graphicData>
                  </a:graphic>
                </wp:inline>
              </w:drawing>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人事部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eastAsia" w:ascii="楷体" w:hAnsi="楷体" w:eastAsia="楷体" w:cs="Times New Roman"/>
                <w:bCs/>
                <w:szCs w:val="21"/>
              </w:rPr>
            </w:pPr>
            <w:r>
              <w:rPr>
                <w:rFonts w:hint="eastAsia" w:ascii="楷体" w:hAnsi="楷体" w:eastAsia="楷体" w:cs="Times New Roman"/>
                <w:bCs/>
                <w:szCs w:val="21"/>
              </w:rPr>
              <w:t>■环境、安全专项经费登记记录：体系运行至今，投入情况如下：</w:t>
            </w:r>
          </w:p>
          <w:p>
            <w:pPr>
              <w:rPr>
                <w:rFonts w:hint="eastAsia" w:ascii="楷体" w:hAnsi="楷体" w:eastAsia="楷体" w:cs="Times New Roman"/>
                <w:bCs/>
                <w:szCs w:val="21"/>
              </w:rPr>
            </w:pPr>
            <w:r>
              <w:rPr>
                <w:rFonts w:hint="eastAsia" w:ascii="楷体" w:hAnsi="楷体" w:eastAsia="楷体" w:cs="Times New Roman"/>
                <w:bCs/>
                <w:szCs w:val="21"/>
              </w:rPr>
              <w:t>体系费用：</w:t>
            </w:r>
            <w:r>
              <w:rPr>
                <w:rFonts w:hint="eastAsia" w:ascii="楷体" w:hAnsi="楷体" w:eastAsia="楷体" w:cs="Times New Roman"/>
                <w:bCs/>
                <w:szCs w:val="21"/>
                <w:lang w:val="en-US" w:eastAsia="zh-CN"/>
              </w:rPr>
              <w:t>3万、消防设施：1万、劳保用品：1万、垃圾处理：2万、三废检测：1万等等</w:t>
            </w:r>
            <w:r>
              <w:rPr>
                <w:rFonts w:hint="eastAsia" w:ascii="楷体" w:hAnsi="楷体" w:eastAsia="楷体" w:cs="Times New Roman"/>
                <w:bCs/>
                <w:szCs w:val="21"/>
              </w:rPr>
              <w:t>；合计14.</w:t>
            </w:r>
            <w:r>
              <w:rPr>
                <w:rFonts w:hint="eastAsia" w:ascii="楷体" w:hAnsi="楷体" w:eastAsia="楷体" w:cs="Times New Roman"/>
                <w:bCs/>
                <w:szCs w:val="21"/>
                <w:lang w:val="en-US" w:eastAsia="zh-CN"/>
              </w:rPr>
              <w:t>8</w:t>
            </w:r>
            <w:r>
              <w:rPr>
                <w:rFonts w:hint="eastAsia" w:ascii="楷体" w:hAnsi="楷体" w:eastAsia="楷体" w:cs="Times New Roman"/>
                <w:bCs/>
                <w:szCs w:val="21"/>
              </w:rPr>
              <w:t>万</w:t>
            </w:r>
          </w:p>
          <w:p>
            <w:pPr>
              <w:rPr>
                <w:rFonts w:hint="default" w:ascii="楷体" w:hAnsi="楷体" w:eastAsia="楷体" w:cs="Times New Roman"/>
                <w:bCs/>
                <w:szCs w:val="21"/>
                <w:lang w:val="en-US"/>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1、查策划有《应急准备和响应管理程序》，编制有《应急准备和响应资料》。</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——演练时间：时间2022年6月10日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bl>
    <w:p>
      <w:pPr>
        <w:pStyle w:val="7"/>
      </w:pPr>
      <w:r>
        <w:rPr>
          <w:rFonts w:hint="eastAsia"/>
        </w:rPr>
        <w:t>说明：不符合标注N</w:t>
      </w: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北魏楷书简体">
    <w:altName w:val="楷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8"/>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2716A12"/>
    <w:rsid w:val="179A34E4"/>
    <w:rsid w:val="1A900232"/>
    <w:rsid w:val="285B5BB0"/>
    <w:rsid w:val="327F351A"/>
    <w:rsid w:val="40F16E61"/>
    <w:rsid w:val="4BAF4744"/>
    <w:rsid w:val="55B701B4"/>
    <w:rsid w:val="61B14CD5"/>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rFonts w:hint="eastAsia" w:ascii="微软雅黑" w:hAnsi="微软雅黑" w:eastAsia="微软雅黑" w:cs="微软雅黑"/>
      <w:color w:val="146C88"/>
      <w:sz w:val="24"/>
      <w:szCs w:val="24"/>
      <w:u w:val="none"/>
    </w:rPr>
  </w:style>
  <w:style w:type="character" w:styleId="14">
    <w:name w:val="Emphasis"/>
    <w:basedOn w:val="11"/>
    <w:qFormat/>
    <w:uiPriority w:val="20"/>
    <w:rPr>
      <w:i/>
      <w:iCs/>
    </w:rPr>
  </w:style>
  <w:style w:type="character" w:styleId="15">
    <w:name w:val="HTML Definition"/>
    <w:basedOn w:val="11"/>
    <w:semiHidden/>
    <w:unhideWhenUsed/>
    <w:qFormat/>
    <w:uiPriority w:val="99"/>
  </w:style>
  <w:style w:type="character" w:styleId="16">
    <w:name w:val="HTML Variable"/>
    <w:basedOn w:val="11"/>
    <w:semiHidden/>
    <w:unhideWhenUsed/>
    <w:qFormat/>
    <w:uiPriority w:val="99"/>
    <w:rPr>
      <w:sz w:val="0"/>
      <w:szCs w:val="0"/>
      <w:bdr w:val="single" w:color="CCCCCC" w:sz="2" w:space="0"/>
      <w:shd w:val="clear" w:fill="FFFFFF"/>
    </w:rPr>
  </w:style>
  <w:style w:type="character" w:styleId="17">
    <w:name w:val="Hyperlink"/>
    <w:basedOn w:val="11"/>
    <w:semiHidden/>
    <w:unhideWhenUsed/>
    <w:qFormat/>
    <w:uiPriority w:val="99"/>
    <w:rPr>
      <w:rFonts w:hint="eastAsia" w:ascii="微软雅黑" w:hAnsi="微软雅黑" w:eastAsia="微软雅黑" w:cs="微软雅黑"/>
      <w:color w:val="146C88"/>
      <w:sz w:val="24"/>
      <w:szCs w:val="24"/>
      <w:u w:val="none"/>
    </w:rPr>
  </w:style>
  <w:style w:type="character" w:styleId="18">
    <w:name w:val="HTML Code"/>
    <w:basedOn w:val="11"/>
    <w:semiHidden/>
    <w:unhideWhenUsed/>
    <w:uiPriority w:val="99"/>
    <w:rPr>
      <w:rFonts w:hint="default" w:ascii="Courier New" w:hAnsi="Courier New" w:eastAsia="Courier New" w:cs="Courier New"/>
      <w:sz w:val="20"/>
    </w:rPr>
  </w:style>
  <w:style w:type="character" w:styleId="19">
    <w:name w:val="HTML Cite"/>
    <w:basedOn w:val="11"/>
    <w:semiHidden/>
    <w:unhideWhenUsed/>
    <w:qFormat/>
    <w:uiPriority w:val="99"/>
  </w:style>
  <w:style w:type="character" w:styleId="20">
    <w:name w:val="HTML Keyboard"/>
    <w:basedOn w:val="11"/>
    <w:semiHidden/>
    <w:unhideWhenUsed/>
    <w:uiPriority w:val="99"/>
    <w:rPr>
      <w:rFonts w:hint="default" w:ascii="Courier New" w:hAnsi="Courier New" w:eastAsia="Courier New" w:cs="Courier New"/>
      <w:sz w:val="20"/>
    </w:rPr>
  </w:style>
  <w:style w:type="character" w:styleId="21">
    <w:name w:val="HTML Sample"/>
    <w:basedOn w:val="11"/>
    <w:semiHidden/>
    <w:unhideWhenUsed/>
    <w:qFormat/>
    <w:uiPriority w:val="99"/>
    <w:rPr>
      <w:rFonts w:ascii="Courier New" w:hAnsi="Courier New" w:eastAsia="Courier New" w:cs="Courier New"/>
    </w:rPr>
  </w:style>
  <w:style w:type="paragraph" w:customStyle="1" w:styleId="22">
    <w:name w:val="表格文字"/>
    <w:basedOn w:val="1"/>
    <w:qFormat/>
    <w:uiPriority w:val="0"/>
    <w:pPr>
      <w:spacing w:before="25" w:after="25"/>
    </w:pPr>
    <w:rPr>
      <w:bCs/>
      <w:spacing w:val="10"/>
    </w:rPr>
  </w:style>
  <w:style w:type="character" w:customStyle="1" w:styleId="23">
    <w:name w:val="页眉 字符"/>
    <w:basedOn w:val="11"/>
    <w:link w:val="8"/>
    <w:qFormat/>
    <w:uiPriority w:val="99"/>
    <w:rPr>
      <w:rFonts w:ascii="Times New Roman" w:hAnsi="Times New Roman" w:eastAsia="宋体" w:cs="Times New Roman"/>
      <w:sz w:val="18"/>
      <w:szCs w:val="18"/>
    </w:rPr>
  </w:style>
  <w:style w:type="character" w:customStyle="1" w:styleId="24">
    <w:name w:val="页脚 字符"/>
    <w:basedOn w:val="11"/>
    <w:link w:val="7"/>
    <w:qFormat/>
    <w:uiPriority w:val="99"/>
    <w:rPr>
      <w:rFonts w:ascii="Times New Roman" w:hAnsi="Times New Roman" w:eastAsia="宋体" w:cs="Times New Roman"/>
      <w:sz w:val="18"/>
      <w:szCs w:val="18"/>
    </w:rPr>
  </w:style>
  <w:style w:type="character" w:customStyle="1" w:styleId="25">
    <w:name w:val="批注框文本 字符"/>
    <w:basedOn w:val="11"/>
    <w:link w:val="6"/>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1"/>
    <w:qFormat/>
    <w:uiPriority w:val="0"/>
    <w:rPr>
      <w:vanish/>
    </w:rPr>
  </w:style>
  <w:style w:type="character" w:customStyle="1" w:styleId="32">
    <w:name w:val="checked1"/>
    <w:basedOn w:val="11"/>
    <w:qFormat/>
    <w:uiPriority w:val="0"/>
  </w:style>
  <w:style w:type="character" w:customStyle="1" w:styleId="33">
    <w:name w:val="ca-nav-next"/>
    <w:basedOn w:val="11"/>
    <w:qFormat/>
    <w:uiPriority w:val="0"/>
  </w:style>
  <w:style w:type="character" w:customStyle="1" w:styleId="34">
    <w:name w:val="button"/>
    <w:basedOn w:val="11"/>
    <w:qFormat/>
    <w:uiPriority w:val="0"/>
  </w:style>
  <w:style w:type="character" w:customStyle="1" w:styleId="35">
    <w:name w:val="last-child"/>
    <w:basedOn w:val="11"/>
    <w:uiPriority w:val="0"/>
    <w:rPr>
      <w:color w:val="999999"/>
    </w:rPr>
  </w:style>
  <w:style w:type="character" w:customStyle="1" w:styleId="36">
    <w:name w:val="last-child1"/>
    <w:basedOn w:val="11"/>
    <w:qFormat/>
    <w:uiPriority w:val="0"/>
  </w:style>
  <w:style w:type="character" w:customStyle="1" w:styleId="37">
    <w:name w:val="hover19"/>
    <w:basedOn w:val="11"/>
    <w:uiPriority w:val="0"/>
  </w:style>
  <w:style w:type="character" w:customStyle="1" w:styleId="38">
    <w:name w:val="hover20"/>
    <w:basedOn w:val="11"/>
    <w:qFormat/>
    <w:uiPriority w:val="0"/>
    <w:rPr>
      <w:shd w:val="clear" w:fill="F2F2F2"/>
    </w:rPr>
  </w:style>
  <w:style w:type="character" w:customStyle="1" w:styleId="39">
    <w:name w:val="hover21"/>
    <w:basedOn w:val="11"/>
    <w:uiPriority w:val="0"/>
    <w:rPr>
      <w:shd w:val="clear" w:fill="F2F2F2"/>
    </w:rPr>
  </w:style>
  <w:style w:type="character" w:customStyle="1" w:styleId="40">
    <w:name w:val="active2"/>
    <w:basedOn w:val="11"/>
    <w:qFormat/>
    <w:uiPriority w:val="0"/>
    <w:rPr>
      <w:shd w:val="clear" w:fill="F2F2F2"/>
    </w:rPr>
  </w:style>
  <w:style w:type="character" w:customStyle="1" w:styleId="41">
    <w:name w:val="tmpztreemove_arrow"/>
    <w:basedOn w:val="11"/>
    <w:qFormat/>
    <w:uiPriority w:val="0"/>
  </w:style>
  <w:style w:type="character" w:customStyle="1" w:styleId="42">
    <w:name w:val="hover"/>
    <w:basedOn w:val="11"/>
    <w:qFormat/>
    <w:uiPriority w:val="0"/>
  </w:style>
  <w:style w:type="character" w:customStyle="1" w:styleId="43">
    <w:name w:val="hover1"/>
    <w:basedOn w:val="11"/>
    <w:qFormat/>
    <w:uiPriority w:val="0"/>
    <w:rPr>
      <w:shd w:val="clear" w:fill="F2F2F2"/>
    </w:rPr>
  </w:style>
  <w:style w:type="character" w:customStyle="1" w:styleId="44">
    <w:name w:val="hover2"/>
    <w:basedOn w:val="11"/>
    <w:qFormat/>
    <w:uiPriority w:val="0"/>
    <w:rPr>
      <w:shd w:val="clear" w:fill="F2F2F2"/>
    </w:rPr>
  </w:style>
  <w:style w:type="paragraph" w:customStyle="1" w:styleId="45">
    <w:name w:val="二级条标题"/>
    <w:basedOn w:val="46"/>
    <w:next w:val="1"/>
    <w:uiPriority w:val="0"/>
    <w:pPr>
      <w:tabs>
        <w:tab w:val="left" w:pos="720"/>
      </w:tabs>
      <w:ind w:left="0" w:firstLine="0"/>
      <w:outlineLvl w:val="3"/>
    </w:pPr>
    <w:rPr>
      <w:rFonts w:hint="default"/>
    </w:rPr>
  </w:style>
  <w:style w:type="paragraph" w:customStyle="1" w:styleId="46">
    <w:name w:val="一级条标题"/>
    <w:basedOn w:val="1"/>
    <w:next w:val="1"/>
    <w:uiPriority w:val="0"/>
    <w:pPr>
      <w:widowControl/>
      <w:tabs>
        <w:tab w:val="left" w:pos="720"/>
      </w:tabs>
      <w:ind w:left="720" w:hanging="720"/>
      <w:outlineLvl w:val="2"/>
    </w:pPr>
    <w:rPr>
      <w:rFonts w:hint="eastAsia"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8182</Words>
  <Characters>8747</Characters>
  <Lines>142</Lines>
  <Paragraphs>40</Paragraphs>
  <TotalTime>1</TotalTime>
  <ScaleCrop>false</ScaleCrop>
  <LinksUpToDate>false</LinksUpToDate>
  <CharactersWithSpaces>8979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2022-10-07T07:14:32Z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