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1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质检部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主管领导：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李金安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陪同人员：刘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张磊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2.109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部门负责人：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李金安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查企业提供的资料见《岗位职责及岗位任职要求》中，规定了公司各个岗位的主要职责和相关要求。生产技术部的主要职责有：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负责产品和服务实现的策划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；管理与控制用料；控制、产品的监视测量；监视测量设备的管理；原材料、过程、成品的检验与放行；不合格品的控制； 与营销各部门沟通、联系、协调；统计生产负荷和调度产销平衡等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询问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瞿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部长，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瞿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部长明确其基本职责和权限。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部门质量目标：                                考核情况（202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2年1-3季度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  <w:tbl>
            <w:tblPr>
              <w:tblStyle w:val="11"/>
              <w:tblpPr w:leftFromText="180" w:rightFromText="180" w:vertAnchor="text" w:horzAnchor="page" w:tblpX="298" w:tblpY="266"/>
              <w:tblOverlap w:val="never"/>
              <w:tblW w:w="99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75"/>
              <w:gridCol w:w="4800"/>
              <w:gridCol w:w="153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31" w:hRule="atLeast"/>
              </w:trPr>
              <w:tc>
                <w:tcPr>
                  <w:tcW w:w="3575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80" w:beforeLines="20" w:after="80" w:afterLines="20" w:line="320" w:lineRule="exact"/>
                    <w:ind w:left="0"/>
                    <w:jc w:val="center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分目标</w:t>
                  </w:r>
                </w:p>
              </w:tc>
              <w:tc>
                <w:tcPr>
                  <w:tcW w:w="4800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80" w:beforeLines="20" w:after="80" w:afterLines="20" w:line="320" w:lineRule="exact"/>
                    <w:ind w:left="0"/>
                    <w:jc w:val="center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考核方法</w:t>
                  </w:r>
                </w:p>
              </w:tc>
              <w:tc>
                <w:tcPr>
                  <w:tcW w:w="1531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80" w:beforeLines="20" w:after="80" w:afterLines="20" w:line="320" w:lineRule="exact"/>
                    <w:ind w:left="0"/>
                    <w:jc w:val="center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考核结果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60" w:beforeLines="15" w:after="60" w:afterLines="15" w:line="320" w:lineRule="exact"/>
                    <w:ind w:left="0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1文件发放及时率100%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60" w:beforeLines="15" w:after="60" w:afterLines="15" w:line="320" w:lineRule="exact"/>
                    <w:ind w:left="0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及时率＝发放及时数÷文件总发放数×100%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60" w:beforeLines="15" w:after="60" w:afterLines="15" w:line="320" w:lineRule="exact"/>
                    <w:ind w:left="0"/>
                    <w:jc w:val="center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60" w:beforeLines="15" w:after="60" w:afterLines="15" w:line="320" w:lineRule="exact"/>
                    <w:ind w:left="0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2.有效文件受控率100%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60" w:beforeLines="15" w:after="60" w:afterLines="15" w:line="320" w:lineRule="exact"/>
                    <w:ind w:left="0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受控率＝受控数量÷有效文件数×100%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6"/>
                    <w:spacing w:before="60" w:beforeLines="15" w:after="60" w:afterLines="15" w:line="320" w:lineRule="exact"/>
                    <w:ind w:left="0"/>
                    <w:jc w:val="center"/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3.产品抽检合格率≥98%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合格率＝抽检合格数÷抽检总数×100%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98%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4.监视测量设备校准率100%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校准率＝校准设备数÷设备总数×100%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5.产品检测率100%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检测率＝检测数÷计划送检数×100%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6．数据分析准确率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准确率=分析准确数/总数×100%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7．成品一次性交验合格率≥95%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合格率＝交验合格数÷交验总数×100%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98%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8.法律法规每年更新1次，合规性评价执行率100%；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检查是否执行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已更新、执行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9.各类废弃物按规定分类处置率100%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处置率=检查合格次数/总次数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10.重大安全事故发生率为0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考核期内统计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1" w:hRule="atLeast"/>
              </w:trPr>
              <w:tc>
                <w:tcPr>
                  <w:tcW w:w="3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11.火灾事故发生率为0；</w:t>
                  </w:r>
                </w:p>
              </w:tc>
              <w:tc>
                <w:tcPr>
                  <w:tcW w:w="4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考核期内统计</w:t>
                  </w:r>
                </w:p>
              </w:tc>
              <w:tc>
                <w:tcPr>
                  <w:tcW w:w="1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  <w:t>0</w:t>
                  </w:r>
                </w:p>
              </w:tc>
            </w:tr>
          </w:tbl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监视和测量资源</w:t>
            </w:r>
          </w:p>
        </w:tc>
        <w:tc>
          <w:tcPr>
            <w:tcW w:w="960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7.1.5</w:t>
            </w:r>
          </w:p>
        </w:tc>
        <w:tc>
          <w:tcPr>
            <w:tcW w:w="10455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建立有《监视和测量设备台帐》监视测量仪器有：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密封性试验台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通止规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绝缘电阻表、游标卡尺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等，满足检验需求。</w:t>
            </w:r>
          </w:p>
          <w:p>
            <w:pPr>
              <w:spacing w:line="276" w:lineRule="auto"/>
              <w:ind w:right="17" w:rightChars="8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没有用于监测的计算机软件。</w:t>
            </w:r>
          </w:p>
          <w:p>
            <w:pPr>
              <w:spacing w:line="276" w:lineRule="auto"/>
              <w:ind w:right="17" w:rightChars="8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检测设备配置能满足产品检测需求。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查监视测量器具校准情况，企业编制有《计量器具校准规程》、《计量器具校准方法》规定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周期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，根据计量器具使用频率可随时校准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另外企业提供了计量器具的年检报告，详见扫描件</w:t>
            </w:r>
          </w:p>
          <w:p>
            <w:pPr>
              <w:spacing w:line="276" w:lineRule="auto"/>
              <w:ind w:right="17" w:rightChars="8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该公司生产技术部负责监视和测量设备的管理。</w:t>
            </w:r>
          </w:p>
          <w:p>
            <w:pPr>
              <w:spacing w:line="27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●编制了《外部提供产品、服务和过程控制程序》，包括每种产品进货检验项目等 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收集了产品的相关标准：机械加工手册、机械加工通用技术规范、机械加工通用检验规范、客户要求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技术协议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JB/T 8651.3-2011 机床润滑系统元件 第3部分：微型电动油脂润滑泵、Q/3201 NBQE 01 润滑泵企业标准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等法规相关内容进行生产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●提供产品进货验证记录：记录了进货情况及检验情况。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原材料（毛坯）收货检验记录明细》和《收货职检明细》，明确供应商、原材料名称、数量、原材料状态、检验人员等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3047365</wp:posOffset>
                  </wp:positionH>
                  <wp:positionV relativeFrom="paragraph">
                    <wp:posOffset>1610995</wp:posOffset>
                  </wp:positionV>
                  <wp:extent cx="3474720" cy="3346450"/>
                  <wp:effectExtent l="0" t="0" r="5080" b="6350"/>
                  <wp:wrapSquare wrapText="bothSides"/>
                  <wp:docPr id="4" name="图片 4" descr="56f309195648c734430e96b0de040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6f309195648c734430e96b0de040a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7020" b="27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334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568825" cy="1690370"/>
                  <wp:effectExtent l="0" t="0" r="3175" b="11430"/>
                  <wp:docPr id="1" name="图片 1" descr="29a95e891ce170ce6efe4e0672887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9a95e891ce170ce6efe4e0672887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45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882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过程检验：过程检验见8.5.1工序控制记录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成品出厂测试：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日    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产品名称：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机床润滑系统用齿轮式油脂润滑泵</w:t>
            </w:r>
          </w:p>
          <w:p>
            <w:pPr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规格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型号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CB-</w:t>
            </w: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-2-G-120/0.7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---查其他规格设备、其他批次的成品检验记录，其检验过程符合要求，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不再赘述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企业的检验过程控制符合要求</w:t>
            </w:r>
          </w:p>
          <w:p>
            <w:pPr>
              <w:pStyle w:val="18"/>
              <w:numPr>
                <w:ilvl w:val="0"/>
                <w:numId w:val="0"/>
              </w:numPr>
              <w:spacing w:line="240" w:lineRule="exact"/>
              <w:rPr>
                <w:rFonts w:hint="default" w:ascii="楷体" w:hAnsi="楷体" w:eastAsia="楷体" w:cs="楷体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sym w:font="Wingdings 2" w:char="F098"/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企业提供有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</w:rPr>
              <w:t>第三方测试报告（无强制要求进行型式检验）</w:t>
            </w:r>
          </w:p>
          <w:p>
            <w:pPr>
              <w:pStyle w:val="18"/>
              <w:spacing w:line="240" w:lineRule="exact"/>
              <w:ind w:left="540" w:firstLine="0" w:firstLineChars="0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其余内容详见检测报告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编制《不合格控制程序》，其规定了不合格品的识别、隔离、标识、评审及处置方面的要求。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在产品进货检验中出现的不合格可进行退货处理，在产品交付后出现不合格可进行包修处理。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查《产品质量分析报告》，时间2022年6月，客户：海德曼，产品：齿轮润滑泵，客户反馈内容：油泵不打油，故障排查：电机不工作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故障分析，详见报告单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27555" cy="2981325"/>
                  <wp:effectExtent l="0" t="0" r="4445" b="3175"/>
                  <wp:docPr id="5" name="图片 5" descr="801857693e523468104ec6879038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01857693e523468104ec6879038ad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55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ascii="楷体" w:hAnsi="楷体" w:eastAsia="楷体"/>
                <w:bCs/>
                <w:color w:val="auto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auto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Cs/>
                <w:color w:val="auto"/>
                <w:szCs w:val="24"/>
              </w:rPr>
              <w:t>危险源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color w:val="auto"/>
                <w:szCs w:val="24"/>
              </w:rPr>
              <w:t>EO6.1.2</w:t>
            </w:r>
          </w:p>
        </w:tc>
        <w:tc>
          <w:tcPr>
            <w:tcW w:w="10455" w:type="dxa"/>
            <w:vAlign w:val="top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提供了《环境因素识别与评价控制程序》，对环境因素的识别、评价结果、控制手段等做出了规定。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部门负责人介绍识别环境因素时考虑了三种时态，过去、现在和将来，三种状态，正常、异常和紧急，按照办公过程及生产过程等进行了辨识。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查《环境因素识别评价汇总表》，对本部门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检验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和办公等有关过程的环境因素。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日常办公过程中的固废（废纸、废电池、灯管、墨盒）造成的土壤污染、水资源消耗、电能消耗、意外火灾引起的污染大气、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检验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过程（火灾、废弃丢弃、漏油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电能消耗）等环境因素。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查到：《重要环境因素清单》，本部门涉及的重要环境因素：资源的消耗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潜在火灾事故的发生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、危废弃物的排放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TW"/>
              </w:rPr>
              <w:t>对于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环境因素通过运行控制、管理方案、定期收集、应急准备与响应进行控制。</w:t>
            </w:r>
          </w:p>
          <w:p>
            <w:pPr>
              <w:snapToGrid w:val="0"/>
              <w:spacing w:line="400" w:lineRule="exact"/>
              <w:ind w:right="392" w:firstLine="480" w:firstLineChars="200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查《危险源辨识及风险评价表》，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部门：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val="en-US" w:eastAsia="zh-CN"/>
              </w:rPr>
              <w:t>质检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，识别了办公过程中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垃圾不理不及时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可能导致的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疾病传染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、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人离开未断电源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可能导致的的火灾、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违规试验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可能导致的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人身伤害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等危险源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。</w:t>
            </w:r>
          </w:p>
          <w:p>
            <w:pPr>
              <w:snapToGrid w:val="0"/>
              <w:spacing w:line="400" w:lineRule="exact"/>
              <w:ind w:right="392" w:firstLine="480" w:firstLineChars="200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查到：《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重 要 风 险 危 险 源 清 单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》，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质检部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涉及的不可接受风险：触电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火灾。</w:t>
            </w:r>
          </w:p>
          <w:p>
            <w:pPr>
              <w:snapToGrid w:val="0"/>
              <w:spacing w:line="400" w:lineRule="exact"/>
              <w:ind w:right="392" w:firstLine="480" w:firstLineChars="200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TW"/>
              </w:rPr>
              <w:t>对于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环境因素、重要环境因素及危险源、不可接受风险等通过运行控制、管理方案、应急准备与响应进行控制。</w:t>
            </w:r>
          </w:p>
          <w:p>
            <w:pPr>
              <w:pStyle w:val="3"/>
              <w:jc w:val="left"/>
              <w:rPr>
                <w:color w:val="auto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质检部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环境因素、危险的识别、评价基本符合标准要求。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措施的策划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EO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6.1.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5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公司根据环境因素评价结果，制定出《重要环境因素清单》，清单内明确了控制措施计划，通过具体的措施进行有效控制：目标、管理方案、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环境影响运行控制程序、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管理制度运行控制、应急预案、检查、培训。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制定了《法律、法规和其他要求控制程序》、《合规性评价控制程序》，每年对公司适用的合规义务进行识别更新并定期评价、检查。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经组织评价，组织策划的措施基本能够满足风险和机遇应对需要，与潜在影响相适应，基本满足标准要求。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auto"/>
                <w:szCs w:val="24"/>
              </w:rPr>
              <w:t>运行控制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auto"/>
                <w:szCs w:val="24"/>
              </w:rPr>
              <w:t>EO8.1</w:t>
            </w:r>
          </w:p>
        </w:tc>
        <w:tc>
          <w:tcPr>
            <w:tcW w:w="10455" w:type="dxa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参与编制与环境、安全体系运行控制有关的文件有《运行控制管理程序》、《应急准备和响应管理程序》、《消防安全管理程序》、《防火管理程序》、《废水、噪音管理程序》、《应急预案》等。</w:t>
            </w:r>
          </w:p>
          <w:p>
            <w:pPr>
              <w:spacing w:before="120" w:line="320" w:lineRule="exac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1、公司废水有生产废水和生活污水，生产废水经废水处理设施处理至GB8978-1996《污水综合排放标准》中三级标准，设计过程控制冷却水循环使用不外排，废水收集在废水桶中。 </w:t>
            </w:r>
          </w:p>
          <w:p>
            <w:pPr>
              <w:numPr>
                <w:ilvl w:val="0"/>
                <w:numId w:val="1"/>
              </w:numPr>
              <w:spacing w:before="120" w:line="320" w:lineRule="exac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噪声管控：研发过程在机加工过程产生噪声，采取发放耳塞减少对员工的伤害。 同时加强设备的检查和维保，确保机械设备在正常工况下运行，其他工序基本无噪声。 </w:t>
            </w:r>
          </w:p>
          <w:p>
            <w:pPr>
              <w:spacing w:before="120" w:line="320" w:lineRule="exac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3、固废管控：</w:t>
            </w:r>
          </w:p>
          <w:p>
            <w:pPr>
              <w:spacing w:before="120" w:line="320" w:lineRule="exact"/>
              <w:rPr>
                <w:rFonts w:hint="eastAsia" w:ascii="楷体" w:hAnsi="楷体" w:eastAsia="楷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检验过程中主要测试润滑泵的性能、会产生一定的废油。</w:t>
            </w:r>
          </w:p>
          <w:p>
            <w:pPr>
              <w:spacing w:before="120" w:line="320" w:lineRule="exac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4、能源资源管控：</w:t>
            </w:r>
          </w:p>
          <w:p>
            <w:pPr>
              <w:spacing w:before="120" w:line="320" w:lineRule="exac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节水、节电、节原材料，人走关闭设备和照明开关，现场查看未发现有漏水和浪费电能的现象。</w:t>
            </w:r>
          </w:p>
          <w:p>
            <w:pPr>
              <w:numPr>
                <w:ilvl w:val="0"/>
                <w:numId w:val="0"/>
              </w:numPr>
              <w:spacing w:before="120" w:line="320" w:lineRule="exac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5、潜在火灾管控：</w:t>
            </w:r>
          </w:p>
          <w:p>
            <w:pPr>
              <w:spacing w:before="120"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公司生产车间和办公区域配备了灭火器，均符合要求。</w:t>
            </w:r>
          </w:p>
          <w:p>
            <w:pPr>
              <w:spacing w:before="120" w:line="320" w:lineRule="exac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6、能提供防止员工意外伤害加重的急救药品如创可贴、杀菌药水等。</w:t>
            </w:r>
          </w:p>
          <w:p>
            <w:pPr>
              <w:spacing w:before="120" w:line="320" w:lineRule="exac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7、为主要长期员工上社保，查见交款证明。</w:t>
            </w:r>
          </w:p>
          <w:p>
            <w:pPr>
              <w:spacing w:line="360" w:lineRule="auto"/>
              <w:ind w:firstLine="480" w:firstLineChars="200"/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 w:cs="Times New Roman"/>
                <w:sz w:val="24"/>
                <w:szCs w:val="24"/>
              </w:rPr>
            </w:pPr>
            <w:bookmarkStart w:id="1" w:name="_GoBack" w:colFirst="3" w:colLast="3"/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应急准备和相应</w:t>
            </w: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hint="eastAsia" w:ascii="楷体" w:hAnsi="楷体" w:eastAsia="楷体"/>
                <w:bCs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E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O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8.2</w:t>
            </w:r>
          </w:p>
        </w:tc>
        <w:tc>
          <w:tcPr>
            <w:tcW w:w="10455" w:type="dxa"/>
            <w:vAlign w:val="top"/>
          </w:tcPr>
          <w:p>
            <w:pPr>
              <w:spacing w:line="360" w:lineRule="auto"/>
              <w:ind w:firstLine="480" w:firstLineChars="200"/>
              <w:rPr>
                <w:rFonts w:hint="default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详见人事部审核记录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pStyle w:val="9"/>
        <w:rPr>
          <w:rFonts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6" o:spid="_x0000_s1026" o:spt="202" type="#_x0000_t202" style="position:absolute;left:0pt;margin-left:620.4pt;margin-top:12.55pt;height:20.2pt;width:102.7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10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7"/>
        <w:rFonts w:hint="default"/>
        <w:w w:val="90"/>
      </w:rPr>
      <w:t>Beijing International Standard united Certification Co.,Ltd.</w:t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8838F"/>
    <w:multiLevelType w:val="singleLevel"/>
    <w:tmpl w:val="5028838F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831126"/>
    <w:rsid w:val="000072F7"/>
    <w:rsid w:val="000151AA"/>
    <w:rsid w:val="00022B65"/>
    <w:rsid w:val="00040267"/>
    <w:rsid w:val="00046455"/>
    <w:rsid w:val="00050D55"/>
    <w:rsid w:val="00050F13"/>
    <w:rsid w:val="0005339C"/>
    <w:rsid w:val="000539EA"/>
    <w:rsid w:val="000542D4"/>
    <w:rsid w:val="00055588"/>
    <w:rsid w:val="000577D3"/>
    <w:rsid w:val="000623B7"/>
    <w:rsid w:val="0006274F"/>
    <w:rsid w:val="000646B5"/>
    <w:rsid w:val="0007301F"/>
    <w:rsid w:val="00075222"/>
    <w:rsid w:val="00093C73"/>
    <w:rsid w:val="000A7816"/>
    <w:rsid w:val="000A7959"/>
    <w:rsid w:val="000B4A15"/>
    <w:rsid w:val="000C0B67"/>
    <w:rsid w:val="000C0EC0"/>
    <w:rsid w:val="000C50B1"/>
    <w:rsid w:val="000D1141"/>
    <w:rsid w:val="000D33E5"/>
    <w:rsid w:val="000D34F1"/>
    <w:rsid w:val="000D5C6A"/>
    <w:rsid w:val="000F1007"/>
    <w:rsid w:val="000F385A"/>
    <w:rsid w:val="000F58D0"/>
    <w:rsid w:val="000F5D6D"/>
    <w:rsid w:val="00106F54"/>
    <w:rsid w:val="00111FFF"/>
    <w:rsid w:val="001158A9"/>
    <w:rsid w:val="00143533"/>
    <w:rsid w:val="0014371C"/>
    <w:rsid w:val="00150849"/>
    <w:rsid w:val="00152148"/>
    <w:rsid w:val="001566F3"/>
    <w:rsid w:val="00157FD3"/>
    <w:rsid w:val="00160590"/>
    <w:rsid w:val="0016572C"/>
    <w:rsid w:val="001754F1"/>
    <w:rsid w:val="00175A18"/>
    <w:rsid w:val="00176702"/>
    <w:rsid w:val="0017698F"/>
    <w:rsid w:val="00177FAE"/>
    <w:rsid w:val="001827AE"/>
    <w:rsid w:val="00190E6B"/>
    <w:rsid w:val="00193021"/>
    <w:rsid w:val="001A18AE"/>
    <w:rsid w:val="001A2BA7"/>
    <w:rsid w:val="001B280D"/>
    <w:rsid w:val="001B4BD0"/>
    <w:rsid w:val="001C29CC"/>
    <w:rsid w:val="001C56BD"/>
    <w:rsid w:val="001C6B66"/>
    <w:rsid w:val="001E3922"/>
    <w:rsid w:val="001F3E39"/>
    <w:rsid w:val="00200AB0"/>
    <w:rsid w:val="00204146"/>
    <w:rsid w:val="00204D3D"/>
    <w:rsid w:val="00210A19"/>
    <w:rsid w:val="00213979"/>
    <w:rsid w:val="00214A5E"/>
    <w:rsid w:val="002160D9"/>
    <w:rsid w:val="00220CB0"/>
    <w:rsid w:val="00220E0A"/>
    <w:rsid w:val="00224723"/>
    <w:rsid w:val="00224B05"/>
    <w:rsid w:val="00225667"/>
    <w:rsid w:val="002373BC"/>
    <w:rsid w:val="002403BA"/>
    <w:rsid w:val="00244C3E"/>
    <w:rsid w:val="00253B61"/>
    <w:rsid w:val="002546A9"/>
    <w:rsid w:val="00254DAD"/>
    <w:rsid w:val="0025588C"/>
    <w:rsid w:val="00264BAF"/>
    <w:rsid w:val="00270563"/>
    <w:rsid w:val="002759EA"/>
    <w:rsid w:val="00285222"/>
    <w:rsid w:val="00291F40"/>
    <w:rsid w:val="00294585"/>
    <w:rsid w:val="002A2C14"/>
    <w:rsid w:val="002A3E6F"/>
    <w:rsid w:val="002A3FAE"/>
    <w:rsid w:val="002A7257"/>
    <w:rsid w:val="002B7ACC"/>
    <w:rsid w:val="002C0EC0"/>
    <w:rsid w:val="002D47D9"/>
    <w:rsid w:val="002E04BD"/>
    <w:rsid w:val="002E6316"/>
    <w:rsid w:val="002F22BC"/>
    <w:rsid w:val="002F60EA"/>
    <w:rsid w:val="00311104"/>
    <w:rsid w:val="00316166"/>
    <w:rsid w:val="00331E84"/>
    <w:rsid w:val="00336B92"/>
    <w:rsid w:val="0035099D"/>
    <w:rsid w:val="00350DCD"/>
    <w:rsid w:val="00351050"/>
    <w:rsid w:val="00360395"/>
    <w:rsid w:val="00363ADF"/>
    <w:rsid w:val="00364B12"/>
    <w:rsid w:val="003721DC"/>
    <w:rsid w:val="003811E6"/>
    <w:rsid w:val="003923E8"/>
    <w:rsid w:val="00393E7F"/>
    <w:rsid w:val="00394A42"/>
    <w:rsid w:val="00395583"/>
    <w:rsid w:val="00395D89"/>
    <w:rsid w:val="00396A87"/>
    <w:rsid w:val="003A1710"/>
    <w:rsid w:val="003A7037"/>
    <w:rsid w:val="003B5EB0"/>
    <w:rsid w:val="003B610D"/>
    <w:rsid w:val="003C147B"/>
    <w:rsid w:val="003C213B"/>
    <w:rsid w:val="003C43F5"/>
    <w:rsid w:val="003C67F5"/>
    <w:rsid w:val="003D4E40"/>
    <w:rsid w:val="003D6A1B"/>
    <w:rsid w:val="003F767D"/>
    <w:rsid w:val="004205F5"/>
    <w:rsid w:val="00421E82"/>
    <w:rsid w:val="004347B6"/>
    <w:rsid w:val="00437E21"/>
    <w:rsid w:val="00445245"/>
    <w:rsid w:val="00450E1C"/>
    <w:rsid w:val="00452646"/>
    <w:rsid w:val="004579E9"/>
    <w:rsid w:val="00462996"/>
    <w:rsid w:val="00464E7D"/>
    <w:rsid w:val="00467C4C"/>
    <w:rsid w:val="00472FD4"/>
    <w:rsid w:val="00482454"/>
    <w:rsid w:val="00485729"/>
    <w:rsid w:val="00494F60"/>
    <w:rsid w:val="004A7A04"/>
    <w:rsid w:val="004B2AB1"/>
    <w:rsid w:val="004B5FF0"/>
    <w:rsid w:val="004C2345"/>
    <w:rsid w:val="004C3477"/>
    <w:rsid w:val="004D2B7D"/>
    <w:rsid w:val="004D4390"/>
    <w:rsid w:val="005021D6"/>
    <w:rsid w:val="00506A1D"/>
    <w:rsid w:val="00511B1A"/>
    <w:rsid w:val="00521C69"/>
    <w:rsid w:val="005333AC"/>
    <w:rsid w:val="00543A7A"/>
    <w:rsid w:val="00544BD7"/>
    <w:rsid w:val="0054682B"/>
    <w:rsid w:val="005544C6"/>
    <w:rsid w:val="00580949"/>
    <w:rsid w:val="0058116F"/>
    <w:rsid w:val="005A0B9B"/>
    <w:rsid w:val="005A2B9E"/>
    <w:rsid w:val="005B01A4"/>
    <w:rsid w:val="005B1B5B"/>
    <w:rsid w:val="005B7D33"/>
    <w:rsid w:val="005C1929"/>
    <w:rsid w:val="005C34FF"/>
    <w:rsid w:val="005C7447"/>
    <w:rsid w:val="005D2C21"/>
    <w:rsid w:val="005E4B6B"/>
    <w:rsid w:val="005F05EE"/>
    <w:rsid w:val="005F6369"/>
    <w:rsid w:val="00601CDF"/>
    <w:rsid w:val="0060500C"/>
    <w:rsid w:val="00607309"/>
    <w:rsid w:val="00611B45"/>
    <w:rsid w:val="00617B01"/>
    <w:rsid w:val="006239DA"/>
    <w:rsid w:val="006254FF"/>
    <w:rsid w:val="00630194"/>
    <w:rsid w:val="00633261"/>
    <w:rsid w:val="006402CF"/>
    <w:rsid w:val="006479D3"/>
    <w:rsid w:val="00650B45"/>
    <w:rsid w:val="006515CB"/>
    <w:rsid w:val="00660F15"/>
    <w:rsid w:val="00662750"/>
    <w:rsid w:val="006801C2"/>
    <w:rsid w:val="0068317A"/>
    <w:rsid w:val="00686548"/>
    <w:rsid w:val="006934A2"/>
    <w:rsid w:val="0069645D"/>
    <w:rsid w:val="006A5761"/>
    <w:rsid w:val="006B0601"/>
    <w:rsid w:val="006B200A"/>
    <w:rsid w:val="006B2B77"/>
    <w:rsid w:val="006B6DAD"/>
    <w:rsid w:val="006C2CCB"/>
    <w:rsid w:val="006C409F"/>
    <w:rsid w:val="006D18C5"/>
    <w:rsid w:val="006F59AE"/>
    <w:rsid w:val="006F719C"/>
    <w:rsid w:val="00701817"/>
    <w:rsid w:val="0070619B"/>
    <w:rsid w:val="00713182"/>
    <w:rsid w:val="0073203F"/>
    <w:rsid w:val="00735EBB"/>
    <w:rsid w:val="007370BD"/>
    <w:rsid w:val="00743320"/>
    <w:rsid w:val="00750C77"/>
    <w:rsid w:val="007510E7"/>
    <w:rsid w:val="0075532E"/>
    <w:rsid w:val="007606EC"/>
    <w:rsid w:val="0076103F"/>
    <w:rsid w:val="007637A7"/>
    <w:rsid w:val="00774D0F"/>
    <w:rsid w:val="00781174"/>
    <w:rsid w:val="00784747"/>
    <w:rsid w:val="007860DE"/>
    <w:rsid w:val="00790291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D7991"/>
    <w:rsid w:val="007E593D"/>
    <w:rsid w:val="007E741E"/>
    <w:rsid w:val="007F120D"/>
    <w:rsid w:val="007F3880"/>
    <w:rsid w:val="007F5B21"/>
    <w:rsid w:val="007F614A"/>
    <w:rsid w:val="00813787"/>
    <w:rsid w:val="00814F47"/>
    <w:rsid w:val="008159A7"/>
    <w:rsid w:val="008212AB"/>
    <w:rsid w:val="00827EF3"/>
    <w:rsid w:val="00831126"/>
    <w:rsid w:val="00831560"/>
    <w:rsid w:val="00831A63"/>
    <w:rsid w:val="00850355"/>
    <w:rsid w:val="00854AAA"/>
    <w:rsid w:val="00856118"/>
    <w:rsid w:val="00860B8B"/>
    <w:rsid w:val="00866E22"/>
    <w:rsid w:val="00873021"/>
    <w:rsid w:val="00874BFE"/>
    <w:rsid w:val="0089792D"/>
    <w:rsid w:val="008B10C1"/>
    <w:rsid w:val="008C70FB"/>
    <w:rsid w:val="008E694B"/>
    <w:rsid w:val="008F5082"/>
    <w:rsid w:val="008F5D8C"/>
    <w:rsid w:val="00901F56"/>
    <w:rsid w:val="0090570B"/>
    <w:rsid w:val="00915684"/>
    <w:rsid w:val="00915921"/>
    <w:rsid w:val="009233E4"/>
    <w:rsid w:val="0093363E"/>
    <w:rsid w:val="00935B56"/>
    <w:rsid w:val="009403C1"/>
    <w:rsid w:val="00940E52"/>
    <w:rsid w:val="0094134A"/>
    <w:rsid w:val="0095310F"/>
    <w:rsid w:val="00962B69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D078E"/>
    <w:rsid w:val="009D7121"/>
    <w:rsid w:val="009E2383"/>
    <w:rsid w:val="009F0991"/>
    <w:rsid w:val="009F1B33"/>
    <w:rsid w:val="00A01428"/>
    <w:rsid w:val="00A0356E"/>
    <w:rsid w:val="00A0382C"/>
    <w:rsid w:val="00A051FA"/>
    <w:rsid w:val="00A1672F"/>
    <w:rsid w:val="00A16F64"/>
    <w:rsid w:val="00A25B4D"/>
    <w:rsid w:val="00A26D2A"/>
    <w:rsid w:val="00A30389"/>
    <w:rsid w:val="00A35173"/>
    <w:rsid w:val="00A53C2D"/>
    <w:rsid w:val="00A63994"/>
    <w:rsid w:val="00A70E9E"/>
    <w:rsid w:val="00A718DD"/>
    <w:rsid w:val="00A74ED1"/>
    <w:rsid w:val="00A77773"/>
    <w:rsid w:val="00A84823"/>
    <w:rsid w:val="00AA357E"/>
    <w:rsid w:val="00AA403F"/>
    <w:rsid w:val="00AA5638"/>
    <w:rsid w:val="00AA6995"/>
    <w:rsid w:val="00AB2870"/>
    <w:rsid w:val="00AB6BFD"/>
    <w:rsid w:val="00AC1D37"/>
    <w:rsid w:val="00AC3BD2"/>
    <w:rsid w:val="00AD0A9A"/>
    <w:rsid w:val="00AD234F"/>
    <w:rsid w:val="00AD5EA0"/>
    <w:rsid w:val="00AD73C9"/>
    <w:rsid w:val="00AE5C36"/>
    <w:rsid w:val="00AF401E"/>
    <w:rsid w:val="00B06674"/>
    <w:rsid w:val="00B10AD3"/>
    <w:rsid w:val="00B20057"/>
    <w:rsid w:val="00B30B36"/>
    <w:rsid w:val="00B31198"/>
    <w:rsid w:val="00B40914"/>
    <w:rsid w:val="00B42572"/>
    <w:rsid w:val="00B45D34"/>
    <w:rsid w:val="00B51E7C"/>
    <w:rsid w:val="00B61254"/>
    <w:rsid w:val="00B613B1"/>
    <w:rsid w:val="00B861A7"/>
    <w:rsid w:val="00BA2083"/>
    <w:rsid w:val="00BA2BC2"/>
    <w:rsid w:val="00BA2F33"/>
    <w:rsid w:val="00BA5AC7"/>
    <w:rsid w:val="00BA5EB0"/>
    <w:rsid w:val="00BA733F"/>
    <w:rsid w:val="00BB039F"/>
    <w:rsid w:val="00BB183D"/>
    <w:rsid w:val="00BB27F7"/>
    <w:rsid w:val="00BB28F7"/>
    <w:rsid w:val="00BC1FD0"/>
    <w:rsid w:val="00BD50C1"/>
    <w:rsid w:val="00BF369A"/>
    <w:rsid w:val="00BF57AE"/>
    <w:rsid w:val="00BF755C"/>
    <w:rsid w:val="00C01775"/>
    <w:rsid w:val="00C03293"/>
    <w:rsid w:val="00C037A3"/>
    <w:rsid w:val="00C03D05"/>
    <w:rsid w:val="00C1225B"/>
    <w:rsid w:val="00C31403"/>
    <w:rsid w:val="00C31DEF"/>
    <w:rsid w:val="00C37B44"/>
    <w:rsid w:val="00C438CF"/>
    <w:rsid w:val="00C44E8D"/>
    <w:rsid w:val="00C56EA8"/>
    <w:rsid w:val="00C61E8E"/>
    <w:rsid w:val="00C64066"/>
    <w:rsid w:val="00C65EBD"/>
    <w:rsid w:val="00C73D6D"/>
    <w:rsid w:val="00C77A6B"/>
    <w:rsid w:val="00C802DF"/>
    <w:rsid w:val="00C8733F"/>
    <w:rsid w:val="00C87370"/>
    <w:rsid w:val="00C971A1"/>
    <w:rsid w:val="00CA0C32"/>
    <w:rsid w:val="00CB3272"/>
    <w:rsid w:val="00CB757D"/>
    <w:rsid w:val="00CC2839"/>
    <w:rsid w:val="00CC6495"/>
    <w:rsid w:val="00CC64A5"/>
    <w:rsid w:val="00CD0417"/>
    <w:rsid w:val="00CD0DDA"/>
    <w:rsid w:val="00CD5E51"/>
    <w:rsid w:val="00CE32CB"/>
    <w:rsid w:val="00CF2B2D"/>
    <w:rsid w:val="00CF4FBB"/>
    <w:rsid w:val="00D06E85"/>
    <w:rsid w:val="00D1078C"/>
    <w:rsid w:val="00D27897"/>
    <w:rsid w:val="00D329E1"/>
    <w:rsid w:val="00D33242"/>
    <w:rsid w:val="00D541B2"/>
    <w:rsid w:val="00D56A6F"/>
    <w:rsid w:val="00D60DA9"/>
    <w:rsid w:val="00D638B8"/>
    <w:rsid w:val="00D65BDF"/>
    <w:rsid w:val="00D71F64"/>
    <w:rsid w:val="00D72909"/>
    <w:rsid w:val="00D75A66"/>
    <w:rsid w:val="00D80F8B"/>
    <w:rsid w:val="00D9352F"/>
    <w:rsid w:val="00D9367C"/>
    <w:rsid w:val="00DA6608"/>
    <w:rsid w:val="00DB0243"/>
    <w:rsid w:val="00DB3B32"/>
    <w:rsid w:val="00DB5EDB"/>
    <w:rsid w:val="00DB7A20"/>
    <w:rsid w:val="00DD162A"/>
    <w:rsid w:val="00DD7755"/>
    <w:rsid w:val="00DE16F3"/>
    <w:rsid w:val="00DE1721"/>
    <w:rsid w:val="00DF13FE"/>
    <w:rsid w:val="00E00701"/>
    <w:rsid w:val="00E10945"/>
    <w:rsid w:val="00E11C03"/>
    <w:rsid w:val="00E13B34"/>
    <w:rsid w:val="00E17615"/>
    <w:rsid w:val="00E216B0"/>
    <w:rsid w:val="00E32734"/>
    <w:rsid w:val="00E37EC5"/>
    <w:rsid w:val="00E44492"/>
    <w:rsid w:val="00E544AA"/>
    <w:rsid w:val="00E63BBC"/>
    <w:rsid w:val="00E6469E"/>
    <w:rsid w:val="00E65D1C"/>
    <w:rsid w:val="00E779B7"/>
    <w:rsid w:val="00E82B26"/>
    <w:rsid w:val="00E85B48"/>
    <w:rsid w:val="00E85F75"/>
    <w:rsid w:val="00E97B24"/>
    <w:rsid w:val="00EA2239"/>
    <w:rsid w:val="00EC7B17"/>
    <w:rsid w:val="00ED2441"/>
    <w:rsid w:val="00ED6004"/>
    <w:rsid w:val="00ED6126"/>
    <w:rsid w:val="00EE14B9"/>
    <w:rsid w:val="00EE1B33"/>
    <w:rsid w:val="00EE1B5A"/>
    <w:rsid w:val="00EE1C5B"/>
    <w:rsid w:val="00EF030D"/>
    <w:rsid w:val="00EF783D"/>
    <w:rsid w:val="00F15123"/>
    <w:rsid w:val="00F159BC"/>
    <w:rsid w:val="00F24389"/>
    <w:rsid w:val="00F32CF4"/>
    <w:rsid w:val="00F36448"/>
    <w:rsid w:val="00F37849"/>
    <w:rsid w:val="00F4465A"/>
    <w:rsid w:val="00F464F9"/>
    <w:rsid w:val="00F50D77"/>
    <w:rsid w:val="00F60302"/>
    <w:rsid w:val="00F70B43"/>
    <w:rsid w:val="00F715F4"/>
    <w:rsid w:val="00F72187"/>
    <w:rsid w:val="00F90542"/>
    <w:rsid w:val="00F92741"/>
    <w:rsid w:val="00F9526A"/>
    <w:rsid w:val="00F96DCB"/>
    <w:rsid w:val="00FA2D6E"/>
    <w:rsid w:val="00FA4A64"/>
    <w:rsid w:val="00FB0ECE"/>
    <w:rsid w:val="00FC22A7"/>
    <w:rsid w:val="00FC35BA"/>
    <w:rsid w:val="00FD45D4"/>
    <w:rsid w:val="00FD7FC0"/>
    <w:rsid w:val="00FE1F7D"/>
    <w:rsid w:val="00FE2A72"/>
    <w:rsid w:val="00FE306A"/>
    <w:rsid w:val="00FE552E"/>
    <w:rsid w:val="04C24194"/>
    <w:rsid w:val="0A7424A7"/>
    <w:rsid w:val="0CAB432A"/>
    <w:rsid w:val="0E971172"/>
    <w:rsid w:val="1BA04D48"/>
    <w:rsid w:val="24ED5540"/>
    <w:rsid w:val="31310A0F"/>
    <w:rsid w:val="326978B2"/>
    <w:rsid w:val="39BE20D4"/>
    <w:rsid w:val="3B3118EB"/>
    <w:rsid w:val="465A61B4"/>
    <w:rsid w:val="52D67DB8"/>
    <w:rsid w:val="555F64AB"/>
    <w:rsid w:val="577625B5"/>
    <w:rsid w:val="594D0A09"/>
    <w:rsid w:val="59D25DDD"/>
    <w:rsid w:val="61527681"/>
    <w:rsid w:val="65265E04"/>
    <w:rsid w:val="6B4B625C"/>
    <w:rsid w:val="73DB3134"/>
    <w:rsid w:val="78030AF1"/>
    <w:rsid w:val="7D8260E0"/>
    <w:rsid w:val="7E306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qFormat/>
    <w:uiPriority w:val="0"/>
    <w:pPr>
      <w:spacing w:after="120"/>
    </w:pPr>
    <w:rPr>
      <w:szCs w:val="24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6">
    <w:name w:val="Body Text Indent"/>
    <w:basedOn w:val="1"/>
    <w:qFormat/>
    <w:uiPriority w:val="0"/>
    <w:pPr>
      <w:ind w:left="360"/>
    </w:pPr>
    <w:rPr>
      <w:sz w:val="20"/>
    </w:rPr>
  </w:style>
  <w:style w:type="paragraph" w:styleId="7">
    <w:name w:val="Plain Text"/>
    <w:basedOn w:val="1"/>
    <w:link w:val="21"/>
    <w:qFormat/>
    <w:uiPriority w:val="0"/>
    <w:pPr>
      <w:spacing w:line="360" w:lineRule="auto"/>
      <w:ind w:left="200" w:leftChars="200"/>
    </w:pPr>
    <w:rPr>
      <w:rFonts w:ascii="宋体" w:hAnsi="Courier New" w:cs="Courier New" w:eastAsiaTheme="minorEastAsia"/>
      <w:sz w:val="24"/>
      <w:szCs w:val="21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Emphasis"/>
    <w:basedOn w:val="12"/>
    <w:qFormat/>
    <w:uiPriority w:val="20"/>
    <w:rPr>
      <w:i/>
    </w:rPr>
  </w:style>
  <w:style w:type="character" w:customStyle="1" w:styleId="14">
    <w:name w:val="页眉 Char"/>
    <w:basedOn w:val="12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纯文本 Char"/>
    <w:link w:val="7"/>
    <w:qFormat/>
    <w:uiPriority w:val="0"/>
    <w:rPr>
      <w:rFonts w:ascii="宋体" w:hAnsi="Courier New" w:cs="Courier New"/>
      <w:kern w:val="2"/>
      <w:sz w:val="24"/>
      <w:szCs w:val="21"/>
    </w:rPr>
  </w:style>
  <w:style w:type="character" w:customStyle="1" w:styleId="21">
    <w:name w:val="纯文本 Char1"/>
    <w:basedOn w:val="12"/>
    <w:link w:val="7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6F7116-41D2-47BD-9E3C-7C3E9B427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4879</Words>
  <Characters>5495</Characters>
  <Lines>158</Lines>
  <Paragraphs>44</Paragraphs>
  <TotalTime>1</TotalTime>
  <ScaleCrop>false</ScaleCrop>
  <LinksUpToDate>false</LinksUpToDate>
  <CharactersWithSpaces>5646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2022-10-08T02:53:31Z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B1ABCBE67B7140E092E5A3DA573C1F8D</vt:lpwstr>
  </property>
</Properties>
</file>